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F9E89">
      <w:pPr>
        <w:jc w:val="center"/>
        <w:rPr>
          <w:rFonts w:hint="eastAsia"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关于浙银理财</w:t>
      </w:r>
      <w:r>
        <w:rPr>
          <w:rFonts w:hint="eastAsia" w:ascii="方正小标宋简体" w:eastAsia="方正小标宋简体"/>
          <w:sz w:val="44"/>
          <w:szCs w:val="36"/>
          <w:lang w:eastAsia="zh-CN"/>
        </w:rPr>
        <w:t>琮简富春200号</w:t>
      </w:r>
      <w:r>
        <w:rPr>
          <w:rFonts w:hint="eastAsia" w:ascii="方正小标宋简体" w:eastAsia="方正小标宋简体"/>
          <w:sz w:val="44"/>
          <w:szCs w:val="36"/>
        </w:rPr>
        <w:t>理财产品</w:t>
      </w:r>
    </w:p>
    <w:p w14:paraId="44DC3079">
      <w:pPr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实施阶段性费率优惠的公告</w:t>
      </w:r>
    </w:p>
    <w:p w14:paraId="66BCC64C">
      <w:pPr>
        <w:adjustRightInd w:val="0"/>
        <w:spacing w:line="360" w:lineRule="auto"/>
        <w:rPr>
          <w:rFonts w:ascii="仿宋_GB2312" w:hAnsi="宋体" w:eastAsia="仿宋_GB2312" w:cs="宋体"/>
          <w:sz w:val="32"/>
          <w:szCs w:val="24"/>
        </w:rPr>
      </w:pPr>
      <w:r>
        <w:rPr>
          <w:rFonts w:hint="eastAsia" w:ascii="仿宋_GB2312" w:hAnsi="宋体" w:eastAsia="仿宋_GB2312" w:cs="宋体"/>
          <w:sz w:val="32"/>
          <w:szCs w:val="24"/>
        </w:rPr>
        <w:t>尊敬的投资者：</w:t>
      </w:r>
    </w:p>
    <w:p w14:paraId="41531686">
      <w:pPr>
        <w:adjustRightInd w:val="0"/>
        <w:spacing w:line="560" w:lineRule="exact"/>
        <w:ind w:firstLine="640" w:firstLineChars="200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  <w:u w:val="none"/>
          <w:lang w:val="en-US" w:eastAsia="zh-CN"/>
        </w:rPr>
        <w:t>浙银理财有限责任公司</w:t>
      </w:r>
      <w:r>
        <w:rPr>
          <w:rFonts w:hint="eastAsia" w:ascii="仿宋_GB2312" w:eastAsia="仿宋_GB2312"/>
          <w:color w:val="000000"/>
          <w:sz w:val="32"/>
          <w:u w:val="none"/>
        </w:rPr>
        <w:t>拟对浙银理财</w:t>
      </w:r>
      <w:r>
        <w:rPr>
          <w:rFonts w:hint="eastAsia" w:ascii="仿宋_GB2312" w:eastAsia="仿宋_GB2312"/>
          <w:color w:val="000000"/>
          <w:sz w:val="32"/>
          <w:u w:val="none"/>
          <w:lang w:eastAsia="zh-CN"/>
        </w:rPr>
        <w:t>琮简富春200号</w:t>
      </w:r>
      <w:r>
        <w:rPr>
          <w:rFonts w:hint="eastAsia" w:ascii="仿宋_GB2312" w:eastAsia="仿宋_GB2312"/>
          <w:color w:val="000000"/>
          <w:sz w:val="32"/>
          <w:u w:val="none"/>
        </w:rPr>
        <w:t>理财产品（登记编码：</w:t>
      </w:r>
      <w:r>
        <w:rPr>
          <w:rFonts w:hint="eastAsia" w:ascii="仿宋_GB2312" w:eastAsia="仿宋_GB2312"/>
          <w:color w:val="000000"/>
          <w:sz w:val="32"/>
          <w:u w:val="none"/>
          <w:lang w:eastAsia="zh-CN"/>
        </w:rPr>
        <w:t>Z7011826000279</w:t>
      </w:r>
      <w:r>
        <w:rPr>
          <w:rFonts w:hint="eastAsia" w:ascii="仿宋_GB2312" w:eastAsia="仿宋_GB2312"/>
          <w:color w:val="000000"/>
          <w:sz w:val="32"/>
          <w:u w:val="none"/>
        </w:rPr>
        <w:t>）给予</w:t>
      </w:r>
      <w:r>
        <w:rPr>
          <w:rFonts w:hint="eastAsia" w:ascii="仿宋_GB2312" w:eastAsia="仿宋_GB2312"/>
          <w:color w:val="000000"/>
          <w:sz w:val="32"/>
        </w:rPr>
        <w:t>阶段性费率优惠。费率优惠具体内容如下：</w:t>
      </w:r>
    </w:p>
    <w:tbl>
      <w:tblPr>
        <w:tblStyle w:val="7"/>
        <w:tblW w:w="57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1446"/>
        <w:gridCol w:w="1116"/>
        <w:gridCol w:w="1116"/>
        <w:gridCol w:w="1120"/>
        <w:gridCol w:w="1734"/>
        <w:gridCol w:w="1812"/>
      </w:tblGrid>
      <w:tr w14:paraId="7A8BE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Align w:val="center"/>
          </w:tcPr>
          <w:p w14:paraId="3BAD6A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费用类别</w:t>
            </w:r>
          </w:p>
        </w:tc>
        <w:tc>
          <w:tcPr>
            <w:tcW w:w="751" w:type="pct"/>
            <w:vAlign w:val="center"/>
          </w:tcPr>
          <w:p w14:paraId="7B0D88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销售代码</w:t>
            </w:r>
          </w:p>
        </w:tc>
        <w:tc>
          <w:tcPr>
            <w:tcW w:w="580" w:type="pct"/>
            <w:vAlign w:val="center"/>
          </w:tcPr>
          <w:p w14:paraId="37758D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份额类别</w:t>
            </w:r>
          </w:p>
        </w:tc>
        <w:tc>
          <w:tcPr>
            <w:tcW w:w="580" w:type="pct"/>
            <w:vAlign w:val="center"/>
          </w:tcPr>
          <w:p w14:paraId="1E1323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销售文件约定费率</w:t>
            </w:r>
          </w:p>
          <w:p w14:paraId="00C365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（年化）</w:t>
            </w:r>
          </w:p>
        </w:tc>
        <w:tc>
          <w:tcPr>
            <w:tcW w:w="582" w:type="pct"/>
            <w:vAlign w:val="center"/>
          </w:tcPr>
          <w:p w14:paraId="338A58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优惠后费率</w:t>
            </w:r>
          </w:p>
          <w:p w14:paraId="1498D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（年化）</w:t>
            </w:r>
          </w:p>
        </w:tc>
        <w:tc>
          <w:tcPr>
            <w:tcW w:w="901" w:type="pct"/>
            <w:vAlign w:val="center"/>
          </w:tcPr>
          <w:p w14:paraId="5468FD3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优惠起始日期</w:t>
            </w:r>
          </w:p>
          <w:p w14:paraId="439A5A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（含）</w:t>
            </w:r>
          </w:p>
        </w:tc>
        <w:tc>
          <w:tcPr>
            <w:tcW w:w="941" w:type="pct"/>
            <w:vAlign w:val="center"/>
          </w:tcPr>
          <w:p w14:paraId="49E396A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优惠截止日期（含）</w:t>
            </w:r>
          </w:p>
        </w:tc>
      </w:tr>
      <w:tr w14:paraId="3641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restart"/>
            <w:vAlign w:val="center"/>
          </w:tcPr>
          <w:p w14:paraId="7956DC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投资管理费</w:t>
            </w:r>
          </w:p>
        </w:tc>
        <w:tc>
          <w:tcPr>
            <w:tcW w:w="751" w:type="pct"/>
            <w:vAlign w:val="center"/>
          </w:tcPr>
          <w:p w14:paraId="0520CFC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ZYFCG0193A</w:t>
            </w:r>
          </w:p>
        </w:tc>
        <w:tc>
          <w:tcPr>
            <w:tcW w:w="580" w:type="pct"/>
            <w:vAlign w:val="center"/>
          </w:tcPr>
          <w:p w14:paraId="44E4BA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A份额</w:t>
            </w:r>
          </w:p>
        </w:tc>
        <w:tc>
          <w:tcPr>
            <w:tcW w:w="580" w:type="pct"/>
            <w:vMerge w:val="restart"/>
            <w:vAlign w:val="center"/>
          </w:tcPr>
          <w:p w14:paraId="3155BB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vMerge w:val="restart"/>
            <w:vAlign w:val="center"/>
          </w:tcPr>
          <w:p w14:paraId="00D8B4B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0.10%</w:t>
            </w:r>
          </w:p>
        </w:tc>
        <w:tc>
          <w:tcPr>
            <w:tcW w:w="901" w:type="pct"/>
            <w:vMerge w:val="restart"/>
            <w:vAlign w:val="center"/>
          </w:tcPr>
          <w:p w14:paraId="18D38E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2026年8月5日</w:t>
            </w:r>
          </w:p>
        </w:tc>
        <w:tc>
          <w:tcPr>
            <w:tcW w:w="941" w:type="pct"/>
            <w:vMerge w:val="restart"/>
            <w:vAlign w:val="center"/>
          </w:tcPr>
          <w:p w14:paraId="5E1FF1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cs="宋体" w:hAnsiTheme="minorEastAsia" w:eastAsia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2026年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9月30日</w:t>
            </w:r>
          </w:p>
        </w:tc>
      </w:tr>
      <w:tr w14:paraId="152B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continue"/>
            <w:vAlign w:val="center"/>
          </w:tcPr>
          <w:p w14:paraId="4C3B2D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61D3D1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ZYFCG0193B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A8891B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B份额</w:t>
            </w:r>
          </w:p>
        </w:tc>
        <w:tc>
          <w:tcPr>
            <w:tcW w:w="580" w:type="pct"/>
            <w:vMerge w:val="continue"/>
            <w:vAlign w:val="center"/>
          </w:tcPr>
          <w:p w14:paraId="03BE02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51D664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0E1ECD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2D1B119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078B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continue"/>
            <w:vAlign w:val="center"/>
          </w:tcPr>
          <w:p w14:paraId="06DB56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2E569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ZYFCG0193C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7F30A7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C份额</w:t>
            </w:r>
          </w:p>
        </w:tc>
        <w:tc>
          <w:tcPr>
            <w:tcW w:w="580" w:type="pct"/>
            <w:vMerge w:val="continue"/>
            <w:vAlign w:val="center"/>
          </w:tcPr>
          <w:p w14:paraId="1D31C5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07F143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4393A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56F40F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232D1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continue"/>
            <w:vAlign w:val="center"/>
          </w:tcPr>
          <w:p w14:paraId="2151CB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1" w:type="pct"/>
            <w:vAlign w:val="center"/>
          </w:tcPr>
          <w:p w14:paraId="784D0E9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ZYFCG0193H</w:t>
            </w:r>
          </w:p>
        </w:tc>
        <w:tc>
          <w:tcPr>
            <w:tcW w:w="580" w:type="pct"/>
            <w:vAlign w:val="center"/>
          </w:tcPr>
          <w:p w14:paraId="5A004B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H份额</w:t>
            </w:r>
          </w:p>
        </w:tc>
        <w:tc>
          <w:tcPr>
            <w:tcW w:w="580" w:type="pct"/>
            <w:vMerge w:val="continue"/>
            <w:vAlign w:val="center"/>
          </w:tcPr>
          <w:p w14:paraId="5D323B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7950A7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599D37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7C3D4D2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ECB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restart"/>
            <w:vAlign w:val="center"/>
          </w:tcPr>
          <w:p w14:paraId="0FE0AD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1446" w:type="dxa"/>
            <w:vAlign w:val="center"/>
          </w:tcPr>
          <w:p w14:paraId="25FBD1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ZYFCG0193A</w:t>
            </w:r>
          </w:p>
        </w:tc>
        <w:tc>
          <w:tcPr>
            <w:tcW w:w="1116" w:type="dxa"/>
            <w:vAlign w:val="center"/>
          </w:tcPr>
          <w:p w14:paraId="37621A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A份额</w:t>
            </w:r>
          </w:p>
        </w:tc>
        <w:tc>
          <w:tcPr>
            <w:tcW w:w="580" w:type="pct"/>
            <w:vAlign w:val="center"/>
          </w:tcPr>
          <w:p w14:paraId="1B3CC0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vAlign w:val="center"/>
          </w:tcPr>
          <w:p w14:paraId="5C82B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0.10%</w:t>
            </w:r>
          </w:p>
        </w:tc>
        <w:tc>
          <w:tcPr>
            <w:tcW w:w="901" w:type="pct"/>
            <w:vMerge w:val="continue"/>
            <w:vAlign w:val="center"/>
          </w:tcPr>
          <w:p w14:paraId="7FD498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5C7EBE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C875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continue"/>
            <w:vAlign w:val="center"/>
          </w:tcPr>
          <w:p w14:paraId="2D1CF6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6C8219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ZYFCG0193B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DDB1A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B份额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6A449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3FE42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0.05%</w:t>
            </w:r>
          </w:p>
        </w:tc>
        <w:tc>
          <w:tcPr>
            <w:tcW w:w="901" w:type="pct"/>
            <w:vMerge w:val="continue"/>
            <w:vAlign w:val="center"/>
          </w:tcPr>
          <w:p w14:paraId="4835B3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7404A8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8E3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continue"/>
            <w:vAlign w:val="center"/>
          </w:tcPr>
          <w:p w14:paraId="461ACB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140F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ZYFCG0193C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AAE96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C份额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032F9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47FE5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0.20%</w:t>
            </w:r>
          </w:p>
        </w:tc>
        <w:tc>
          <w:tcPr>
            <w:tcW w:w="901" w:type="pct"/>
            <w:vMerge w:val="continue"/>
            <w:vAlign w:val="center"/>
          </w:tcPr>
          <w:p w14:paraId="486F84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1F1C190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C2EA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3" w:type="pct"/>
            <w:vMerge w:val="continue"/>
            <w:vAlign w:val="center"/>
          </w:tcPr>
          <w:p w14:paraId="22D49E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46" w:type="dxa"/>
            <w:vAlign w:val="center"/>
          </w:tcPr>
          <w:p w14:paraId="37932B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ZYFCG0193H</w:t>
            </w:r>
          </w:p>
        </w:tc>
        <w:tc>
          <w:tcPr>
            <w:tcW w:w="1116" w:type="dxa"/>
            <w:vAlign w:val="center"/>
          </w:tcPr>
          <w:p w14:paraId="3ECF57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H份额</w:t>
            </w:r>
          </w:p>
        </w:tc>
        <w:tc>
          <w:tcPr>
            <w:tcW w:w="580" w:type="pct"/>
            <w:vAlign w:val="center"/>
          </w:tcPr>
          <w:p w14:paraId="6FF4D5F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vAlign w:val="center"/>
          </w:tcPr>
          <w:p w14:paraId="4DEF16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0.05%</w:t>
            </w:r>
          </w:p>
        </w:tc>
        <w:tc>
          <w:tcPr>
            <w:tcW w:w="901" w:type="pct"/>
            <w:vMerge w:val="continue"/>
            <w:vAlign w:val="center"/>
          </w:tcPr>
          <w:p w14:paraId="60FC33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5B65ED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F4A2A3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针对上述调整，投资者如有疑问的，请联系销售服务机构或浙银理财客户服务热线0571-57192881，具体以销售文件披露为准。</w:t>
      </w:r>
    </w:p>
    <w:p w14:paraId="4C5E4A5C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eastAsia="仿宋_GB2312" w:cs="宋体" w:hAnsiTheme="minorEastAsia"/>
          <w:color w:val="000000"/>
          <w:kern w:val="0"/>
          <w:sz w:val="32"/>
          <w:szCs w:val="24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本产品其他信息仍以销售文件约定为准，您可通过约定的信息披露渠道查询最新销售文件。</w:t>
      </w:r>
    </w:p>
    <w:p w14:paraId="48D0237D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eastAsia="仿宋_GB2312" w:cs="宋体" w:hAnsiTheme="minorEastAsia"/>
          <w:color w:val="000000"/>
          <w:kern w:val="0"/>
          <w:sz w:val="32"/>
          <w:szCs w:val="24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感谢您一直以来对</w:t>
      </w:r>
      <w:r>
        <w:rPr>
          <w:rFonts w:hint="eastAsia" w:ascii="仿宋_GB2312" w:hAnsi="仿宋_GB2312" w:eastAsia="仿宋_GB2312" w:cs="仿宋_GB2312"/>
          <w:sz w:val="32"/>
          <w:szCs w:val="32"/>
        </w:rPr>
        <w:t>浙银理财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的支持！敬请继续关注</w:t>
      </w:r>
      <w:r>
        <w:rPr>
          <w:rFonts w:hint="eastAsia" w:ascii="仿宋_GB2312" w:hAnsi="仿宋_GB2312" w:eastAsia="仿宋_GB2312" w:cs="仿宋_GB2312"/>
          <w:sz w:val="32"/>
          <w:szCs w:val="32"/>
        </w:rPr>
        <w:t>浙银理财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发行的理财产品。</w:t>
      </w:r>
    </w:p>
    <w:p w14:paraId="11A2C803"/>
    <w:p w14:paraId="7CDC559B">
      <w:pPr>
        <w:ind w:firstLine="64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浙银理财有限责任公司</w:t>
      </w:r>
    </w:p>
    <w:p w14:paraId="20DE6797">
      <w:pPr>
        <w:ind w:firstLine="645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(中文正文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604A3">
    <w:r>
      <w:pict>
        <v:shape id="ImpTraceLabel01f24a5666b437d1193b837c63dcab0d@" o:spid="_x0000_s4097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 w14:paraId="17A5C540">
                <w:r>
                  <w:t>ImpTraceLabel01f24a5666b437d1193b837c63dcab0d@=dGltZT0xNzc2ODE5MTg0MDAwf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d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dGVyTWFya0luZm895L+d5a+GfGZpbGVOYW1lPeWFs+S6jua1memTtueQ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ui0oueQrueugOWvjOaYpTE0NuWPt+eQ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ui0ouS6p+WTgeWunuaWvei0ueeO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+S8mOaDoOea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OWFrOWRii5kb2N4fElQPTEwLjExLjMyLjIzMXxNQUM9MDQ6RDQ6QzQ6NTU6MDc6MTV8Y29tc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V0ZXJOYW1lPeWRmOW3peW3peWPt3xjb21wYW55Pea1meWV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umTtui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jOiCoeS7veaciemZkOWFrOWPu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xkZXA95biC5Zy66JCl6ZSA6YOo77yI5Lqn5ZOB56CU5Y+R6YOo77yJf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VuaXF1ZUNvZGU9MTEzMDM0f</w:t>
                </w:r>
                <w:r>
                  <w:rPr>
                    <w:rFonts w:hint="eastAsia"/>
                    <w:lang w:eastAsia="zh-CN"/>
                  </w:rPr>
                  <w:t>B</w:t>
                </w:r>
                <w:r>
                  <w:t>VzZXJOYW1lPemZiOeCnOadsA==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dit="forms"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2E0D4C"/>
    <w:rsid w:val="04995C3F"/>
    <w:rsid w:val="06AD365A"/>
    <w:rsid w:val="0806058B"/>
    <w:rsid w:val="0B0D41DF"/>
    <w:rsid w:val="101630A4"/>
    <w:rsid w:val="251F4F25"/>
    <w:rsid w:val="291147AC"/>
    <w:rsid w:val="2F220FB2"/>
    <w:rsid w:val="41303671"/>
    <w:rsid w:val="439E0234"/>
    <w:rsid w:val="4F754149"/>
    <w:rsid w:val="5D4C1DEE"/>
    <w:rsid w:val="61156928"/>
    <w:rsid w:val="7D85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303</Characters>
  <Lines>2</Lines>
  <Paragraphs>1</Paragraphs>
  <TotalTime>19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2022-10-20T03:42:00Z</dcterms:created>
  <dc:creator>赵翊翔</dc:creator>
  <cp:lastModifiedBy>浙商银行</cp:lastModifiedBy>
  <cp:lastPrinted>2024-08-20T02:24:00Z</cp:lastPrinted>
  <dcterms:modified xsi:type="dcterms:W3CDTF">2026-07-27T06:22:36Z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E688860A8D59468E8B7E649B19B4C26C</vt:lpwstr>
  </property>
  <property fmtid="{D5CDD505-2E9C-101B-9397-08002B2CF9AE}" pid="3" name="KSOProductBuildVer">
    <vt:lpwstr>2052-12.1.0.24034</vt:lpwstr>
  </property>
</Properties>
</file>