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8B8633">
      <w:pPr>
        <w:widowControl/>
        <w:spacing w:line="560" w:lineRule="exact"/>
        <w:jc w:val="center"/>
        <w:rPr>
          <w:rFonts w:hint="eastAsia" w:ascii="仿宋" w:hAnsi="仿宋" w:eastAsia="仿宋" w:cs="仿宋"/>
          <w:b/>
          <w:bCs/>
          <w:color w:val="auto"/>
          <w:sz w:val="32"/>
          <w:szCs w:val="32"/>
          <w:highlight w:val="none"/>
          <w:lang w:val="en-US" w:eastAsia="zh-CN"/>
        </w:rPr>
      </w:pPr>
      <w:r>
        <w:rPr>
          <w:rFonts w:hint="eastAsia" w:ascii="仿宋" w:hAnsi="仿宋" w:eastAsia="仿宋" w:cs="仿宋"/>
          <w:b/>
          <w:bCs/>
          <w:color w:val="auto"/>
          <w:sz w:val="32"/>
          <w:szCs w:val="32"/>
          <w:highlight w:val="none"/>
        </w:rPr>
        <w:t>江西省永晋招标咨询有限公司</w:t>
      </w:r>
      <w:r>
        <w:rPr>
          <w:rFonts w:hint="eastAsia" w:ascii="仿宋" w:hAnsi="仿宋" w:eastAsia="仿宋" w:cs="仿宋"/>
          <w:b/>
          <w:bCs/>
          <w:color w:val="auto"/>
          <w:sz w:val="32"/>
          <w:szCs w:val="32"/>
          <w:highlight w:val="none"/>
          <w:lang w:val="en-US" w:eastAsia="zh-CN"/>
        </w:rPr>
        <w:t>关于赣州银行2025年资金营运中心全面审计项目</w:t>
      </w:r>
      <w:r>
        <w:rPr>
          <w:rFonts w:hint="eastAsia" w:ascii="仿宋" w:hAnsi="仿宋" w:eastAsia="仿宋" w:cs="仿宋"/>
          <w:b/>
          <w:bCs/>
          <w:color w:val="auto"/>
          <w:sz w:val="32"/>
          <w:szCs w:val="32"/>
          <w:highlight w:val="none"/>
          <w:lang w:eastAsia="zh-CN"/>
        </w:rPr>
        <w:t>（</w:t>
      </w:r>
      <w:r>
        <w:rPr>
          <w:rFonts w:hint="eastAsia" w:ascii="仿宋" w:hAnsi="仿宋" w:eastAsia="仿宋" w:cs="仿宋"/>
          <w:b/>
          <w:bCs/>
          <w:color w:val="auto"/>
          <w:kern w:val="0"/>
          <w:sz w:val="32"/>
          <w:szCs w:val="32"/>
          <w:highlight w:val="none"/>
        </w:rPr>
        <w:t>招标编号：</w:t>
      </w:r>
      <w:r>
        <w:rPr>
          <w:rFonts w:hint="eastAsia" w:ascii="仿宋" w:hAnsi="仿宋" w:eastAsia="仿宋" w:cs="仿宋"/>
          <w:b/>
          <w:bCs/>
          <w:color w:val="auto"/>
          <w:kern w:val="0"/>
          <w:sz w:val="32"/>
          <w:szCs w:val="32"/>
          <w:highlight w:val="none"/>
          <w:lang w:eastAsia="zh-CN"/>
        </w:rPr>
        <w:t>JXYJ2025-GZYH-C016</w:t>
      </w:r>
      <w:r>
        <w:rPr>
          <w:rFonts w:hint="eastAsia" w:ascii="仿宋" w:hAnsi="仿宋" w:eastAsia="仿宋" w:cs="仿宋"/>
          <w:b/>
          <w:bCs/>
          <w:color w:val="auto"/>
          <w:kern w:val="0"/>
          <w:sz w:val="32"/>
          <w:szCs w:val="32"/>
          <w:highlight w:val="none"/>
          <w:lang w:val="en-US" w:eastAsia="zh-CN"/>
        </w:rPr>
        <w:t>-1</w:t>
      </w:r>
      <w:r>
        <w:rPr>
          <w:rFonts w:hint="eastAsia" w:ascii="仿宋" w:hAnsi="仿宋" w:eastAsia="仿宋" w:cs="仿宋"/>
          <w:b/>
          <w:bCs/>
          <w:color w:val="auto"/>
          <w:sz w:val="32"/>
          <w:szCs w:val="32"/>
          <w:highlight w:val="none"/>
          <w:lang w:eastAsia="zh-CN"/>
        </w:rPr>
        <w:t>）的</w:t>
      </w:r>
      <w:r>
        <w:rPr>
          <w:rFonts w:hint="eastAsia" w:ascii="仿宋" w:hAnsi="仿宋" w:eastAsia="仿宋" w:cs="仿宋"/>
          <w:b/>
          <w:bCs/>
          <w:color w:val="auto"/>
          <w:sz w:val="32"/>
          <w:szCs w:val="32"/>
          <w:highlight w:val="none"/>
          <w:lang w:val="en-US" w:eastAsia="zh-CN"/>
        </w:rPr>
        <w:t>竞争性磋商采购公告</w:t>
      </w:r>
    </w:p>
    <w:p w14:paraId="272219BF">
      <w:pPr>
        <w:adjustRightInd w:val="0"/>
        <w:snapToGrid w:val="0"/>
        <w:spacing w:line="360" w:lineRule="auto"/>
        <w:ind w:firstLine="562" w:firstLineChars="200"/>
        <w:jc w:val="left"/>
        <w:rPr>
          <w:rFonts w:hint="eastAsia" w:ascii="仿宋" w:hAnsi="仿宋" w:eastAsia="仿宋"/>
          <w:b/>
          <w:color w:val="auto"/>
          <w:sz w:val="28"/>
          <w:szCs w:val="28"/>
          <w:highlight w:val="none"/>
        </w:rPr>
      </w:pPr>
    </w:p>
    <w:p w14:paraId="33FBCFB0">
      <w:pPr>
        <w:spacing w:line="460" w:lineRule="exact"/>
        <w:rPr>
          <w:rFonts w:hint="eastAsia" w:ascii="仿宋" w:hAnsi="仿宋" w:eastAsia="仿宋" w:cs="仿宋"/>
          <w:b/>
          <w:bCs/>
          <w:color w:val="auto"/>
          <w:sz w:val="28"/>
          <w:szCs w:val="28"/>
          <w:highlight w:val="none"/>
        </w:rPr>
      </w:pPr>
      <w:bookmarkStart w:id="0" w:name="_Toc35393798"/>
      <w:bookmarkStart w:id="1" w:name="_Toc35393629"/>
      <w:bookmarkStart w:id="2" w:name="_Toc28359089"/>
      <w:bookmarkStart w:id="3" w:name="_Toc28359012"/>
      <w:bookmarkStart w:id="4" w:name="_Toc464401353"/>
      <w:bookmarkStart w:id="5" w:name="_Toc463071334"/>
      <w:bookmarkStart w:id="6" w:name="_Toc462486139"/>
      <w:bookmarkStart w:id="7" w:name="_Toc535299943"/>
      <w:bookmarkStart w:id="8" w:name="_Toc463071787"/>
      <w:bookmarkStart w:id="9" w:name="_Toc478889383"/>
      <w:bookmarkStart w:id="10" w:name="_Toc33182700"/>
      <w:bookmarkStart w:id="11" w:name="_Toc463067503"/>
      <w:bookmarkStart w:id="12" w:name="_Toc33182556"/>
      <w:bookmarkStart w:id="13" w:name="_Toc467034201"/>
      <w:bookmarkStart w:id="14" w:name="_Toc478897901"/>
      <w:bookmarkStart w:id="15" w:name="_Toc466974279"/>
      <w:bookmarkStart w:id="16" w:name="_Toc464451506"/>
      <w:bookmarkStart w:id="17" w:name="_Toc464397400"/>
      <w:bookmarkStart w:id="18" w:name="_Toc462487364"/>
      <w:bookmarkStart w:id="19" w:name="_Toc464457645"/>
      <w:r>
        <w:rPr>
          <w:rFonts w:hint="eastAsia" w:ascii="仿宋" w:hAnsi="仿宋" w:eastAsia="仿宋" w:cs="仿宋"/>
          <w:b/>
          <w:bCs/>
          <w:color w:val="auto"/>
          <w:sz w:val="28"/>
          <w:szCs w:val="28"/>
          <w:highlight w:val="none"/>
        </w:rPr>
        <w:t>项目概况</w:t>
      </w:r>
    </w:p>
    <w:p w14:paraId="16AD701E">
      <w:pPr>
        <w:spacing w:line="46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赣州银行2025年资金营运中心全面审计项目</w:t>
      </w:r>
      <w:r>
        <w:rPr>
          <w:rFonts w:hint="eastAsia" w:ascii="仿宋" w:hAnsi="仿宋" w:eastAsia="仿宋" w:cs="仿宋"/>
          <w:color w:val="auto"/>
          <w:sz w:val="28"/>
          <w:szCs w:val="28"/>
          <w:highlight w:val="none"/>
        </w:rPr>
        <w:t>的潜在供应商应在江西省永晋招标咨询有限公司获取采购文件，并于</w:t>
      </w:r>
      <w:r>
        <w:rPr>
          <w:rFonts w:hint="eastAsia" w:ascii="仿宋" w:hAnsi="仿宋" w:eastAsia="仿宋" w:cs="仿宋"/>
          <w:color w:val="auto"/>
          <w:sz w:val="28"/>
          <w:szCs w:val="28"/>
          <w:highlight w:val="none"/>
          <w:u w:val="single"/>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rPr>
        <w:t>年</w:t>
      </w:r>
      <w:r>
        <w:rPr>
          <w:rFonts w:hint="eastAsia" w:ascii="仿宋" w:hAnsi="仿宋" w:eastAsia="仿宋" w:cs="仿宋"/>
          <w:color w:val="auto"/>
          <w:sz w:val="28"/>
          <w:szCs w:val="28"/>
          <w:highlight w:val="none"/>
          <w:u w:val="single"/>
          <w:lang w:val="en-US" w:eastAsia="zh-CN"/>
        </w:rPr>
        <w:t>2</w:t>
      </w:r>
      <w:r>
        <w:rPr>
          <w:rFonts w:hint="eastAsia" w:ascii="仿宋" w:hAnsi="仿宋" w:eastAsia="仿宋" w:cs="仿宋"/>
          <w:bCs w:val="0"/>
          <w:color w:val="auto"/>
          <w:sz w:val="28"/>
          <w:szCs w:val="28"/>
          <w:highlight w:val="none"/>
          <w:u w:val="single"/>
          <w:lang w:val="en-US" w:eastAsia="zh-CN"/>
        </w:rPr>
        <w:t>月9日</w:t>
      </w:r>
      <w:r>
        <w:rPr>
          <w:rFonts w:hint="eastAsia" w:ascii="仿宋" w:hAnsi="仿宋" w:eastAsia="仿宋" w:cs="仿宋"/>
          <w:color w:val="auto"/>
          <w:sz w:val="28"/>
          <w:szCs w:val="28"/>
          <w:highlight w:val="none"/>
          <w:u w:val="single"/>
          <w:lang w:val="en-US" w:eastAsia="zh-CN"/>
        </w:rPr>
        <w:t>15</w:t>
      </w:r>
      <w:r>
        <w:rPr>
          <w:rFonts w:hint="eastAsia" w:ascii="仿宋" w:hAnsi="仿宋" w:eastAsia="仿宋" w:cs="仿宋"/>
          <w:color w:val="auto"/>
          <w:sz w:val="28"/>
          <w:szCs w:val="28"/>
          <w:highlight w:val="none"/>
          <w:u w:val="single"/>
        </w:rPr>
        <w:t>点</w:t>
      </w:r>
      <w:r>
        <w:rPr>
          <w:rFonts w:hint="eastAsia" w:ascii="仿宋" w:hAnsi="仿宋" w:eastAsia="仿宋" w:cs="仿宋"/>
          <w:color w:val="auto"/>
          <w:sz w:val="28"/>
          <w:szCs w:val="28"/>
          <w:highlight w:val="none"/>
          <w:u w:val="single"/>
          <w:lang w:val="en-US" w:eastAsia="zh-CN"/>
        </w:rPr>
        <w:t>00</w:t>
      </w:r>
      <w:r>
        <w:rPr>
          <w:rFonts w:hint="eastAsia" w:ascii="仿宋" w:hAnsi="仿宋" w:eastAsia="仿宋" w:cs="仿宋"/>
          <w:color w:val="auto"/>
          <w:sz w:val="28"/>
          <w:szCs w:val="28"/>
          <w:highlight w:val="none"/>
          <w:u w:val="single"/>
        </w:rPr>
        <w:t>分</w:t>
      </w:r>
      <w:r>
        <w:rPr>
          <w:rFonts w:hint="eastAsia" w:ascii="仿宋" w:hAnsi="仿宋" w:eastAsia="仿宋" w:cs="仿宋"/>
          <w:color w:val="auto"/>
          <w:sz w:val="28"/>
          <w:szCs w:val="28"/>
          <w:highlight w:val="none"/>
        </w:rPr>
        <w:t>（北京时间）前递交响应文件。</w:t>
      </w:r>
    </w:p>
    <w:p w14:paraId="68AD0461">
      <w:pPr>
        <w:spacing w:line="460" w:lineRule="exact"/>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一、项目基本情况</w:t>
      </w:r>
      <w:bookmarkEnd w:id="0"/>
      <w:bookmarkEnd w:id="1"/>
      <w:bookmarkEnd w:id="2"/>
      <w:bookmarkEnd w:id="3"/>
    </w:p>
    <w:p w14:paraId="489E961A">
      <w:pPr>
        <w:spacing w:line="460" w:lineRule="exact"/>
        <w:ind w:firstLine="560" w:firstLineChars="200"/>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rPr>
        <w:t>项目编号：</w:t>
      </w:r>
      <w:r>
        <w:rPr>
          <w:rFonts w:hint="eastAsia" w:ascii="仿宋" w:hAnsi="仿宋" w:eastAsia="仿宋" w:cs="仿宋"/>
          <w:color w:val="auto"/>
          <w:sz w:val="28"/>
          <w:szCs w:val="28"/>
          <w:highlight w:val="none"/>
          <w:lang w:eastAsia="zh-CN"/>
        </w:rPr>
        <w:t>JXYJ2025-GZYH-C016-1</w:t>
      </w:r>
    </w:p>
    <w:p w14:paraId="6F95EFD8">
      <w:pPr>
        <w:spacing w:line="460" w:lineRule="exact"/>
        <w:ind w:left="1959" w:leftChars="266" w:hanging="1400" w:hangingChars="500"/>
        <w:rPr>
          <w:rFonts w:hint="eastAsia" w:ascii="仿宋" w:hAnsi="仿宋" w:eastAsia="仿宋" w:cs="仿宋"/>
          <w:color w:val="auto"/>
          <w:sz w:val="28"/>
          <w:szCs w:val="28"/>
          <w:highlight w:val="none"/>
          <w:u w:val="single"/>
          <w:lang w:eastAsia="zh-CN"/>
        </w:rPr>
      </w:pPr>
      <w:r>
        <w:rPr>
          <w:rFonts w:hint="eastAsia" w:ascii="仿宋" w:hAnsi="仿宋" w:eastAsia="仿宋" w:cs="仿宋"/>
          <w:color w:val="auto"/>
          <w:sz w:val="28"/>
          <w:szCs w:val="28"/>
          <w:highlight w:val="none"/>
        </w:rPr>
        <w:t>项目名称：</w:t>
      </w:r>
      <w:r>
        <w:rPr>
          <w:rFonts w:hint="eastAsia" w:ascii="仿宋" w:hAnsi="仿宋" w:eastAsia="仿宋" w:cs="仿宋"/>
          <w:color w:val="auto"/>
          <w:sz w:val="28"/>
          <w:szCs w:val="28"/>
          <w:highlight w:val="none"/>
          <w:lang w:eastAsia="zh-CN"/>
        </w:rPr>
        <w:t>赣州银行2025年资金营运中心全面审计项目</w:t>
      </w:r>
    </w:p>
    <w:p w14:paraId="028701DC">
      <w:pPr>
        <w:spacing w:line="46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采购方式：竞争性磋商</w:t>
      </w:r>
    </w:p>
    <w:p w14:paraId="4B24265A">
      <w:pPr>
        <w:spacing w:line="460" w:lineRule="exact"/>
        <w:ind w:firstLine="560" w:firstLineChars="200"/>
        <w:rPr>
          <w:rFonts w:hint="default" w:ascii="仿宋" w:hAnsi="仿宋" w:eastAsia="仿宋" w:cs="仿宋"/>
          <w:color w:val="auto"/>
          <w:sz w:val="28"/>
          <w:szCs w:val="28"/>
          <w:highlight w:val="none"/>
          <w:lang w:val="en-US"/>
        </w:rPr>
      </w:pPr>
      <w:r>
        <w:rPr>
          <w:rFonts w:hint="eastAsia" w:ascii="仿宋" w:hAnsi="仿宋" w:eastAsia="仿宋" w:cs="仿宋"/>
          <w:color w:val="auto"/>
          <w:sz w:val="28"/>
          <w:szCs w:val="28"/>
          <w:highlight w:val="none"/>
        </w:rPr>
        <w:t>预算金额：</w:t>
      </w:r>
      <w:r>
        <w:rPr>
          <w:rFonts w:hint="eastAsia" w:ascii="仿宋" w:hAnsi="仿宋" w:eastAsia="仿宋" w:cs="宋体"/>
          <w:color w:val="auto"/>
          <w:kern w:val="0"/>
          <w:sz w:val="28"/>
          <w:szCs w:val="28"/>
          <w:highlight w:val="none"/>
          <w:lang w:val="en-US" w:eastAsia="zh-CN" w:bidi="ar"/>
        </w:rPr>
        <w:t>700000.00元</w:t>
      </w:r>
    </w:p>
    <w:p w14:paraId="484CDC76">
      <w:pPr>
        <w:spacing w:line="46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采购需求：</w:t>
      </w:r>
    </w:p>
    <w:tbl>
      <w:tblPr>
        <w:tblStyle w:val="9"/>
        <w:tblW w:w="5138" w:type="pct"/>
        <w:jc w:val="center"/>
        <w:tblLayout w:type="autofit"/>
        <w:tblCellMar>
          <w:top w:w="0" w:type="dxa"/>
          <w:left w:w="0" w:type="dxa"/>
          <w:bottom w:w="0" w:type="dxa"/>
          <w:right w:w="0" w:type="dxa"/>
        </w:tblCellMar>
      </w:tblPr>
      <w:tblGrid>
        <w:gridCol w:w="3137"/>
        <w:gridCol w:w="1968"/>
        <w:gridCol w:w="981"/>
        <w:gridCol w:w="842"/>
        <w:gridCol w:w="1618"/>
      </w:tblGrid>
      <w:tr w14:paraId="61AFB8EA">
        <w:tblPrEx>
          <w:tblCellMar>
            <w:top w:w="0" w:type="dxa"/>
            <w:left w:w="0" w:type="dxa"/>
            <w:bottom w:w="0" w:type="dxa"/>
            <w:right w:w="0" w:type="dxa"/>
          </w:tblCellMar>
        </w:tblPrEx>
        <w:trPr>
          <w:trHeight w:val="270" w:hRule="atLeast"/>
          <w:jc w:val="center"/>
        </w:trPr>
        <w:tc>
          <w:tcPr>
            <w:tcW w:w="1835" w:type="pct"/>
            <w:tcBorders>
              <w:top w:val="single" w:color="000000" w:sz="4" w:space="0"/>
              <w:left w:val="single" w:color="000000" w:sz="4" w:space="0"/>
              <w:bottom w:val="single" w:color="000000" w:sz="4" w:space="0"/>
              <w:right w:val="single" w:color="000000" w:sz="4" w:space="0"/>
            </w:tcBorders>
            <w:noWrap w:val="0"/>
            <w:vAlign w:val="center"/>
          </w:tcPr>
          <w:p w14:paraId="416F8877">
            <w:pPr>
              <w:keepNext w:val="0"/>
              <w:keepLines w:val="0"/>
              <w:widowControl/>
              <w:suppressLineNumbers w:val="0"/>
              <w:spacing w:before="0" w:beforeAutospacing="0" w:after="0" w:afterAutospacing="0" w:line="460" w:lineRule="exact"/>
              <w:ind w:left="0" w:leftChars="0" w:right="0" w:rightChars="0" w:firstLine="254" w:firstLineChars="91"/>
              <w:jc w:val="center"/>
              <w:rPr>
                <w:rFonts w:hint="eastAsia" w:ascii="仿宋" w:hAnsi="仿宋" w:eastAsia="仿宋" w:cs="宋体"/>
                <w:color w:val="auto"/>
                <w:kern w:val="0"/>
                <w:sz w:val="28"/>
                <w:szCs w:val="28"/>
                <w:highlight w:val="none"/>
                <w:lang w:val="en-US" w:eastAsia="zh-CN" w:bidi="ar-SA"/>
              </w:rPr>
            </w:pPr>
            <w:r>
              <w:rPr>
                <w:rFonts w:hint="eastAsia" w:ascii="仿宋" w:hAnsi="仿宋" w:eastAsia="仿宋" w:cs="宋体"/>
                <w:color w:val="auto"/>
                <w:kern w:val="0"/>
                <w:sz w:val="28"/>
                <w:szCs w:val="28"/>
                <w:highlight w:val="none"/>
                <w:lang w:val="en-US" w:eastAsia="zh-CN" w:bidi="ar"/>
              </w:rPr>
              <w:t>项目名称</w:t>
            </w:r>
          </w:p>
        </w:tc>
        <w:tc>
          <w:tcPr>
            <w:tcW w:w="1151" w:type="pct"/>
            <w:tcBorders>
              <w:top w:val="single" w:color="000000" w:sz="4" w:space="0"/>
              <w:left w:val="single" w:color="000000" w:sz="4" w:space="0"/>
              <w:bottom w:val="single" w:color="000000" w:sz="4" w:space="0"/>
              <w:right w:val="single" w:color="000000" w:sz="4" w:space="0"/>
            </w:tcBorders>
            <w:noWrap w:val="0"/>
            <w:vAlign w:val="center"/>
          </w:tcPr>
          <w:p w14:paraId="402B6B15">
            <w:pPr>
              <w:keepNext w:val="0"/>
              <w:keepLines w:val="0"/>
              <w:widowControl/>
              <w:suppressLineNumbers w:val="0"/>
              <w:spacing w:before="0" w:beforeAutospacing="0" w:after="0" w:afterAutospacing="0" w:line="460" w:lineRule="exact"/>
              <w:ind w:left="0" w:leftChars="0" w:right="0" w:rightChars="0"/>
              <w:jc w:val="center"/>
              <w:rPr>
                <w:rFonts w:hint="eastAsia" w:ascii="仿宋" w:hAnsi="仿宋" w:eastAsia="仿宋" w:cs="宋体"/>
                <w:color w:val="auto"/>
                <w:kern w:val="0"/>
                <w:sz w:val="28"/>
                <w:szCs w:val="28"/>
                <w:highlight w:val="none"/>
                <w:lang w:val="en-US" w:eastAsia="zh-CN" w:bidi="ar-SA"/>
              </w:rPr>
            </w:pPr>
            <w:r>
              <w:rPr>
                <w:rFonts w:hint="eastAsia" w:ascii="仿宋" w:hAnsi="仿宋" w:eastAsia="仿宋" w:cs="宋体"/>
                <w:color w:val="auto"/>
                <w:kern w:val="0"/>
                <w:sz w:val="28"/>
                <w:szCs w:val="28"/>
                <w:highlight w:val="none"/>
                <w:lang w:val="en-US" w:eastAsia="zh-CN" w:bidi="ar"/>
              </w:rPr>
              <w:t>主要服务内容及要求</w:t>
            </w:r>
          </w:p>
        </w:tc>
        <w:tc>
          <w:tcPr>
            <w:tcW w:w="574" w:type="pct"/>
            <w:tcBorders>
              <w:top w:val="single" w:color="000000" w:sz="4" w:space="0"/>
              <w:left w:val="single" w:color="000000" w:sz="4" w:space="0"/>
              <w:bottom w:val="single" w:color="000000" w:sz="4" w:space="0"/>
              <w:right w:val="single" w:color="000000" w:sz="4" w:space="0"/>
            </w:tcBorders>
            <w:noWrap w:val="0"/>
            <w:vAlign w:val="center"/>
          </w:tcPr>
          <w:p w14:paraId="2C523232">
            <w:pPr>
              <w:keepNext w:val="0"/>
              <w:keepLines w:val="0"/>
              <w:widowControl/>
              <w:suppressLineNumbers w:val="0"/>
              <w:spacing w:before="0" w:beforeAutospacing="0" w:after="0" w:afterAutospacing="0" w:line="460" w:lineRule="exact"/>
              <w:ind w:left="0" w:leftChars="0" w:right="0" w:rightChars="0"/>
              <w:jc w:val="center"/>
              <w:rPr>
                <w:rFonts w:hint="eastAsia" w:ascii="仿宋" w:hAnsi="仿宋" w:eastAsia="仿宋" w:cs="宋体"/>
                <w:color w:val="auto"/>
                <w:kern w:val="0"/>
                <w:sz w:val="28"/>
                <w:szCs w:val="28"/>
                <w:highlight w:val="none"/>
                <w:lang w:val="en-US" w:eastAsia="zh-CN" w:bidi="ar-SA"/>
              </w:rPr>
            </w:pPr>
            <w:r>
              <w:rPr>
                <w:rFonts w:hint="eastAsia" w:ascii="仿宋" w:hAnsi="仿宋" w:eastAsia="仿宋" w:cs="宋体"/>
                <w:color w:val="auto"/>
                <w:kern w:val="0"/>
                <w:sz w:val="28"/>
                <w:szCs w:val="28"/>
                <w:highlight w:val="none"/>
                <w:lang w:val="en-US" w:eastAsia="zh-CN" w:bidi="ar"/>
              </w:rPr>
              <w:t>数量</w:t>
            </w:r>
          </w:p>
        </w:tc>
        <w:tc>
          <w:tcPr>
            <w:tcW w:w="492" w:type="pct"/>
            <w:tcBorders>
              <w:top w:val="single" w:color="000000" w:sz="4" w:space="0"/>
              <w:left w:val="single" w:color="000000" w:sz="4" w:space="0"/>
              <w:bottom w:val="single" w:color="000000" w:sz="4" w:space="0"/>
              <w:right w:val="single" w:color="000000" w:sz="4" w:space="0"/>
            </w:tcBorders>
            <w:noWrap w:val="0"/>
            <w:vAlign w:val="center"/>
          </w:tcPr>
          <w:p w14:paraId="22E9A48C">
            <w:pPr>
              <w:keepNext w:val="0"/>
              <w:keepLines w:val="0"/>
              <w:widowControl/>
              <w:suppressLineNumbers w:val="0"/>
              <w:spacing w:before="0" w:beforeAutospacing="0" w:after="0" w:afterAutospacing="0" w:line="460" w:lineRule="exact"/>
              <w:ind w:left="0" w:leftChars="0" w:right="0" w:rightChars="0"/>
              <w:jc w:val="center"/>
              <w:rPr>
                <w:rFonts w:hint="eastAsia" w:ascii="仿宋" w:hAnsi="仿宋" w:eastAsia="仿宋" w:cs="宋体"/>
                <w:color w:val="auto"/>
                <w:kern w:val="0"/>
                <w:sz w:val="28"/>
                <w:szCs w:val="28"/>
                <w:highlight w:val="none"/>
                <w:lang w:val="en-US" w:eastAsia="zh-CN" w:bidi="ar-SA"/>
              </w:rPr>
            </w:pPr>
            <w:r>
              <w:rPr>
                <w:rFonts w:hint="eastAsia" w:ascii="仿宋" w:hAnsi="仿宋" w:eastAsia="仿宋" w:cs="宋体"/>
                <w:color w:val="auto"/>
                <w:kern w:val="0"/>
                <w:sz w:val="28"/>
                <w:szCs w:val="28"/>
                <w:highlight w:val="none"/>
                <w:lang w:val="en-US" w:eastAsia="zh-CN" w:bidi="ar"/>
              </w:rPr>
              <w:t>单位</w:t>
            </w:r>
          </w:p>
        </w:tc>
        <w:tc>
          <w:tcPr>
            <w:tcW w:w="946" w:type="pct"/>
            <w:tcBorders>
              <w:top w:val="single" w:color="000000" w:sz="4" w:space="0"/>
              <w:left w:val="single" w:color="000000" w:sz="4" w:space="0"/>
              <w:bottom w:val="single" w:color="000000" w:sz="4" w:space="0"/>
              <w:right w:val="single" w:color="000000" w:sz="4" w:space="0"/>
            </w:tcBorders>
            <w:noWrap w:val="0"/>
            <w:vAlign w:val="center"/>
          </w:tcPr>
          <w:p w14:paraId="74726C46">
            <w:pPr>
              <w:keepNext w:val="0"/>
              <w:keepLines w:val="0"/>
              <w:widowControl/>
              <w:suppressLineNumbers w:val="0"/>
              <w:spacing w:before="0" w:beforeAutospacing="0" w:after="0" w:afterAutospacing="0" w:line="460" w:lineRule="exact"/>
              <w:ind w:left="0" w:leftChars="0" w:right="0" w:rightChars="0"/>
              <w:jc w:val="center"/>
              <w:rPr>
                <w:rFonts w:hint="eastAsia" w:ascii="仿宋" w:hAnsi="仿宋" w:eastAsia="仿宋" w:cs="宋体"/>
                <w:color w:val="auto"/>
                <w:kern w:val="0"/>
                <w:sz w:val="28"/>
                <w:szCs w:val="28"/>
                <w:highlight w:val="none"/>
                <w:lang w:val="en-US" w:eastAsia="zh-CN" w:bidi="ar"/>
              </w:rPr>
            </w:pPr>
            <w:r>
              <w:rPr>
                <w:rFonts w:hint="eastAsia" w:ascii="仿宋" w:hAnsi="仿宋" w:eastAsia="仿宋" w:cs="宋体"/>
                <w:color w:val="auto"/>
                <w:kern w:val="0"/>
                <w:sz w:val="28"/>
                <w:szCs w:val="28"/>
                <w:highlight w:val="none"/>
                <w:lang w:val="en-US" w:eastAsia="zh-CN" w:bidi="ar"/>
              </w:rPr>
              <w:t>预算金额（元）</w:t>
            </w:r>
          </w:p>
        </w:tc>
      </w:tr>
      <w:tr w14:paraId="3B0450CB">
        <w:tblPrEx>
          <w:tblCellMar>
            <w:top w:w="0" w:type="dxa"/>
            <w:left w:w="0" w:type="dxa"/>
            <w:bottom w:w="0" w:type="dxa"/>
            <w:right w:w="0" w:type="dxa"/>
          </w:tblCellMar>
        </w:tblPrEx>
        <w:trPr>
          <w:trHeight w:val="1228" w:hRule="atLeast"/>
          <w:jc w:val="center"/>
        </w:trPr>
        <w:tc>
          <w:tcPr>
            <w:tcW w:w="1835" w:type="pct"/>
            <w:tcBorders>
              <w:top w:val="single" w:color="000000" w:sz="4" w:space="0"/>
              <w:left w:val="single" w:color="000000" w:sz="4" w:space="0"/>
              <w:bottom w:val="single" w:color="000000" w:sz="4" w:space="0"/>
              <w:right w:val="single" w:color="000000" w:sz="4" w:space="0"/>
            </w:tcBorders>
            <w:noWrap w:val="0"/>
            <w:vAlign w:val="center"/>
          </w:tcPr>
          <w:p w14:paraId="1445CDE7">
            <w:pPr>
              <w:keepNext w:val="0"/>
              <w:keepLines w:val="0"/>
              <w:widowControl/>
              <w:suppressLineNumbers w:val="0"/>
              <w:spacing w:before="0" w:beforeAutospacing="0" w:after="0" w:afterAutospacing="0" w:line="460" w:lineRule="exact"/>
              <w:ind w:left="0" w:leftChars="0" w:right="0" w:rightChars="0"/>
              <w:jc w:val="center"/>
              <w:rPr>
                <w:rFonts w:hint="eastAsia" w:ascii="仿宋" w:hAnsi="仿宋" w:eastAsia="仿宋" w:cs="宋体"/>
                <w:color w:val="auto"/>
                <w:kern w:val="0"/>
                <w:sz w:val="28"/>
                <w:szCs w:val="28"/>
                <w:highlight w:val="none"/>
                <w:lang w:val="en-US" w:eastAsia="zh-CN" w:bidi="ar"/>
              </w:rPr>
            </w:pPr>
            <w:r>
              <w:rPr>
                <w:rFonts w:hint="eastAsia" w:ascii="仿宋" w:hAnsi="仿宋" w:eastAsia="仿宋" w:cs="宋体"/>
                <w:color w:val="auto"/>
                <w:kern w:val="0"/>
                <w:sz w:val="28"/>
                <w:szCs w:val="28"/>
                <w:highlight w:val="none"/>
                <w:lang w:val="en-US" w:eastAsia="zh-CN" w:bidi="ar"/>
              </w:rPr>
              <w:t>赣州银行2025年资金营运中心全面审计项目</w:t>
            </w:r>
          </w:p>
        </w:tc>
        <w:tc>
          <w:tcPr>
            <w:tcW w:w="1151" w:type="pct"/>
            <w:tcBorders>
              <w:top w:val="single" w:color="000000" w:sz="4" w:space="0"/>
              <w:left w:val="single" w:color="000000" w:sz="4" w:space="0"/>
              <w:bottom w:val="single" w:color="000000" w:sz="4" w:space="0"/>
              <w:right w:val="single" w:color="000000" w:sz="4" w:space="0"/>
            </w:tcBorders>
            <w:noWrap w:val="0"/>
            <w:vAlign w:val="center"/>
          </w:tcPr>
          <w:p w14:paraId="5468005C">
            <w:pPr>
              <w:keepNext w:val="0"/>
              <w:keepLines w:val="0"/>
              <w:widowControl/>
              <w:suppressLineNumbers w:val="0"/>
              <w:spacing w:before="0" w:beforeAutospacing="0" w:after="0" w:afterAutospacing="0" w:line="460" w:lineRule="exact"/>
              <w:ind w:left="0" w:leftChars="0" w:right="0" w:rightChars="0"/>
              <w:jc w:val="center"/>
              <w:rPr>
                <w:rFonts w:hint="eastAsia" w:ascii="仿宋" w:hAnsi="仿宋" w:eastAsia="仿宋" w:cs="宋体"/>
                <w:color w:val="auto"/>
                <w:kern w:val="0"/>
                <w:sz w:val="28"/>
                <w:szCs w:val="28"/>
                <w:highlight w:val="none"/>
                <w:lang w:val="en-US" w:eastAsia="zh-CN" w:bidi="ar"/>
              </w:rPr>
            </w:pPr>
            <w:r>
              <w:rPr>
                <w:rFonts w:hint="eastAsia" w:ascii="仿宋" w:hAnsi="仿宋" w:eastAsia="仿宋" w:cs="宋体"/>
                <w:color w:val="auto"/>
                <w:kern w:val="0"/>
                <w:sz w:val="28"/>
                <w:szCs w:val="28"/>
                <w:highlight w:val="none"/>
                <w:lang w:val="en-US" w:eastAsia="zh-CN" w:bidi="ar"/>
              </w:rPr>
              <w:t>详见采购项目需求</w:t>
            </w:r>
          </w:p>
        </w:tc>
        <w:tc>
          <w:tcPr>
            <w:tcW w:w="574" w:type="pct"/>
            <w:tcBorders>
              <w:top w:val="single" w:color="000000" w:sz="4" w:space="0"/>
              <w:left w:val="single" w:color="000000" w:sz="4" w:space="0"/>
              <w:bottom w:val="single" w:color="000000" w:sz="4" w:space="0"/>
              <w:right w:val="single" w:color="000000" w:sz="4" w:space="0"/>
            </w:tcBorders>
            <w:noWrap w:val="0"/>
            <w:vAlign w:val="center"/>
          </w:tcPr>
          <w:p w14:paraId="63AE5634">
            <w:pPr>
              <w:keepNext w:val="0"/>
              <w:keepLines w:val="0"/>
              <w:widowControl/>
              <w:suppressLineNumbers w:val="0"/>
              <w:spacing w:before="0" w:beforeAutospacing="0" w:after="0" w:afterAutospacing="0" w:line="460" w:lineRule="exact"/>
              <w:ind w:left="0" w:leftChars="0" w:right="0" w:rightChars="0"/>
              <w:jc w:val="center"/>
              <w:rPr>
                <w:rFonts w:hint="eastAsia" w:ascii="仿宋" w:hAnsi="仿宋" w:eastAsia="仿宋" w:cs="宋体"/>
                <w:color w:val="auto"/>
                <w:kern w:val="0"/>
                <w:sz w:val="28"/>
                <w:szCs w:val="28"/>
                <w:highlight w:val="none"/>
                <w:lang w:val="en-US" w:eastAsia="zh-CN" w:bidi="ar"/>
              </w:rPr>
            </w:pPr>
            <w:r>
              <w:rPr>
                <w:rFonts w:hint="eastAsia" w:ascii="仿宋" w:hAnsi="仿宋" w:eastAsia="仿宋" w:cs="宋体"/>
                <w:color w:val="auto"/>
                <w:kern w:val="0"/>
                <w:sz w:val="28"/>
                <w:szCs w:val="28"/>
                <w:highlight w:val="none"/>
                <w:lang w:val="en-US" w:eastAsia="zh-CN" w:bidi="ar"/>
              </w:rPr>
              <w:t>1</w:t>
            </w:r>
          </w:p>
        </w:tc>
        <w:tc>
          <w:tcPr>
            <w:tcW w:w="492" w:type="pct"/>
            <w:tcBorders>
              <w:top w:val="single" w:color="000000" w:sz="4" w:space="0"/>
              <w:left w:val="single" w:color="000000" w:sz="4" w:space="0"/>
              <w:bottom w:val="single" w:color="000000" w:sz="4" w:space="0"/>
              <w:right w:val="single" w:color="000000" w:sz="4" w:space="0"/>
            </w:tcBorders>
            <w:noWrap w:val="0"/>
            <w:vAlign w:val="center"/>
          </w:tcPr>
          <w:p w14:paraId="02A252A5">
            <w:pPr>
              <w:keepNext w:val="0"/>
              <w:keepLines w:val="0"/>
              <w:widowControl/>
              <w:suppressLineNumbers w:val="0"/>
              <w:spacing w:before="0" w:beforeAutospacing="0" w:after="0" w:afterAutospacing="0" w:line="460" w:lineRule="exact"/>
              <w:ind w:left="0" w:leftChars="0" w:right="0" w:rightChars="0"/>
              <w:jc w:val="center"/>
              <w:rPr>
                <w:rFonts w:hint="eastAsia" w:ascii="仿宋" w:hAnsi="仿宋" w:eastAsia="仿宋" w:cs="宋体"/>
                <w:color w:val="auto"/>
                <w:kern w:val="0"/>
                <w:sz w:val="28"/>
                <w:szCs w:val="28"/>
                <w:highlight w:val="none"/>
                <w:lang w:val="en-US" w:eastAsia="zh-CN" w:bidi="ar"/>
              </w:rPr>
            </w:pPr>
            <w:r>
              <w:rPr>
                <w:rFonts w:hint="eastAsia" w:ascii="仿宋" w:hAnsi="仿宋" w:eastAsia="仿宋" w:cs="宋体"/>
                <w:color w:val="auto"/>
                <w:kern w:val="0"/>
                <w:sz w:val="28"/>
                <w:szCs w:val="28"/>
                <w:highlight w:val="none"/>
                <w:lang w:val="en-US" w:eastAsia="zh-CN" w:bidi="ar"/>
              </w:rPr>
              <w:t>项</w:t>
            </w:r>
          </w:p>
        </w:tc>
        <w:tc>
          <w:tcPr>
            <w:tcW w:w="946" w:type="pct"/>
            <w:tcBorders>
              <w:top w:val="single" w:color="000000" w:sz="4" w:space="0"/>
              <w:left w:val="single" w:color="000000" w:sz="4" w:space="0"/>
              <w:bottom w:val="single" w:color="000000" w:sz="4" w:space="0"/>
              <w:right w:val="single" w:color="000000" w:sz="4" w:space="0"/>
            </w:tcBorders>
            <w:noWrap w:val="0"/>
            <w:vAlign w:val="center"/>
          </w:tcPr>
          <w:p w14:paraId="204ACE37">
            <w:pPr>
              <w:keepNext w:val="0"/>
              <w:keepLines w:val="0"/>
              <w:widowControl/>
              <w:suppressLineNumbers w:val="0"/>
              <w:spacing w:before="0" w:beforeAutospacing="0" w:after="0" w:afterAutospacing="0" w:line="460" w:lineRule="exact"/>
              <w:ind w:left="0" w:leftChars="0" w:right="0" w:rightChars="0"/>
              <w:jc w:val="center"/>
              <w:rPr>
                <w:rFonts w:hint="eastAsia" w:ascii="仿宋" w:hAnsi="仿宋" w:eastAsia="仿宋" w:cs="宋体"/>
                <w:color w:val="auto"/>
                <w:kern w:val="0"/>
                <w:sz w:val="28"/>
                <w:szCs w:val="28"/>
                <w:highlight w:val="none"/>
                <w:lang w:val="en-US" w:eastAsia="zh-CN" w:bidi="ar"/>
              </w:rPr>
            </w:pPr>
            <w:r>
              <w:rPr>
                <w:rFonts w:hint="eastAsia" w:ascii="仿宋" w:hAnsi="仿宋" w:eastAsia="仿宋" w:cs="宋体"/>
                <w:color w:val="auto"/>
                <w:kern w:val="0"/>
                <w:sz w:val="28"/>
                <w:szCs w:val="28"/>
                <w:highlight w:val="none"/>
                <w:lang w:val="en-US" w:eastAsia="zh-CN" w:bidi="ar"/>
              </w:rPr>
              <w:t>700000.00</w:t>
            </w:r>
          </w:p>
        </w:tc>
      </w:tr>
    </w:tbl>
    <w:p w14:paraId="2EE5FA26">
      <w:pPr>
        <w:pStyle w:val="7"/>
        <w:adjustRightInd w:val="0"/>
        <w:snapToGrid w:val="0"/>
        <w:ind w:firstLine="560" w:firstLineChars="200"/>
        <w:jc w:val="left"/>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rPr>
        <w:t>合同履行期限：从本合同生效之日起至服务期结束。</w:t>
      </w:r>
    </w:p>
    <w:p w14:paraId="7EEB6CC9">
      <w:pPr>
        <w:spacing w:line="460" w:lineRule="exact"/>
        <w:ind w:firstLine="560" w:firstLineChars="200"/>
        <w:rPr>
          <w:rFonts w:hint="eastAsia" w:ascii="仿宋" w:hAnsi="仿宋" w:eastAsia="仿宋" w:cs="仿宋"/>
          <w:highlight w:val="none"/>
        </w:rPr>
      </w:pPr>
      <w:r>
        <w:rPr>
          <w:rFonts w:hint="eastAsia" w:ascii="仿宋" w:hAnsi="仿宋" w:eastAsia="仿宋" w:cs="仿宋"/>
          <w:sz w:val="28"/>
          <w:szCs w:val="28"/>
          <w:highlight w:val="none"/>
        </w:rPr>
        <w:t>本项目不接受联合体响应。</w:t>
      </w:r>
    </w:p>
    <w:p w14:paraId="0EA864D1">
      <w:pPr>
        <w:autoSpaceDE w:val="0"/>
        <w:spacing w:line="480" w:lineRule="exact"/>
        <w:rPr>
          <w:rFonts w:hint="eastAsia" w:ascii="仿宋" w:hAnsi="仿宋" w:eastAsia="仿宋" w:cs="仿宋"/>
          <w:b/>
          <w:bCs/>
          <w:sz w:val="28"/>
          <w:szCs w:val="28"/>
          <w:highlight w:val="none"/>
        </w:rPr>
      </w:pPr>
      <w:bookmarkStart w:id="20" w:name="_Toc28359091"/>
      <w:bookmarkStart w:id="21" w:name="_Toc35393800"/>
      <w:bookmarkStart w:id="22" w:name="_Toc35393631"/>
      <w:bookmarkStart w:id="23" w:name="_Toc28359014"/>
      <w:r>
        <w:rPr>
          <w:rFonts w:hint="eastAsia" w:ascii="仿宋" w:hAnsi="仿宋" w:eastAsia="仿宋" w:cs="仿宋"/>
          <w:b/>
          <w:bCs/>
          <w:sz w:val="28"/>
          <w:szCs w:val="28"/>
          <w:highlight w:val="none"/>
        </w:rPr>
        <w:t>二、申请人的资格要求：</w:t>
      </w:r>
    </w:p>
    <w:p w14:paraId="44B38845">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rPr>
        <w:t>1.基本资格条件：</w:t>
      </w:r>
    </w:p>
    <w:p w14:paraId="36FF1412">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rPr>
        <w:t>（1）具有独立承担民事责任的能力；</w:t>
      </w:r>
    </w:p>
    <w:p w14:paraId="1E6DF8B3">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rPr>
        <w:t>（2）具有良好的商业信誉和健全的财务会计制度；</w:t>
      </w:r>
    </w:p>
    <w:p w14:paraId="1491C7A8">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rPr>
        <w:t>（3）具有履行合同所必需的设备和专业技术能力；</w:t>
      </w:r>
    </w:p>
    <w:p w14:paraId="5F57FBFE">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rPr>
        <w:t xml:space="preserve">（4）有依法缴纳税收和社会保障资金的良好记录； </w:t>
      </w:r>
    </w:p>
    <w:p w14:paraId="117A67E8">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rPr>
        <w:t>（5）参加政府采购活动前三年内，在经营活动中没有重大违法记录。</w:t>
      </w:r>
    </w:p>
    <w:p w14:paraId="28731B56">
      <w:pPr>
        <w:spacing w:line="460" w:lineRule="exact"/>
        <w:ind w:firstLine="560" w:firstLineChars="200"/>
        <w:jc w:val="both"/>
        <w:rPr>
          <w:rFonts w:hint="eastAsia" w:ascii="仿宋" w:hAnsi="仿宋" w:eastAsia="仿宋" w:cs="仿宋"/>
          <w:bCs/>
          <w:sz w:val="28"/>
          <w:szCs w:val="28"/>
          <w:highlight w:val="none"/>
          <w:lang w:val="en-US" w:eastAsia="zh-CN"/>
        </w:rPr>
      </w:pPr>
      <w:r>
        <w:rPr>
          <w:rFonts w:hint="eastAsia" w:ascii="仿宋" w:hAnsi="仿宋" w:eastAsia="仿宋" w:cs="仿宋"/>
          <w:bCs/>
          <w:sz w:val="28"/>
          <w:szCs w:val="28"/>
          <w:highlight w:val="none"/>
          <w:lang w:val="en-US" w:eastAsia="zh-CN"/>
        </w:rPr>
        <w:t>2</w:t>
      </w:r>
      <w:r>
        <w:rPr>
          <w:rFonts w:hint="eastAsia" w:ascii="仿宋" w:hAnsi="仿宋" w:eastAsia="仿宋" w:cs="仿宋"/>
          <w:bCs/>
          <w:sz w:val="28"/>
          <w:szCs w:val="28"/>
          <w:highlight w:val="none"/>
        </w:rPr>
        <w:t>.本项目的特定资格要求：</w:t>
      </w:r>
      <w:r>
        <w:rPr>
          <w:rFonts w:hint="eastAsia" w:ascii="仿宋" w:hAnsi="仿宋" w:eastAsia="仿宋" w:cs="仿宋"/>
          <w:bCs/>
          <w:sz w:val="28"/>
          <w:szCs w:val="28"/>
          <w:highlight w:val="none"/>
          <w:lang w:val="en-US" w:eastAsia="zh-CN"/>
        </w:rPr>
        <w:t>（1）</w:t>
      </w:r>
      <w:r>
        <w:rPr>
          <w:rFonts w:hint="eastAsia" w:ascii="仿宋" w:hAnsi="仿宋" w:eastAsia="仿宋" w:cs="仿宋"/>
          <w:bCs/>
          <w:color w:val="auto"/>
          <w:sz w:val="28"/>
          <w:szCs w:val="28"/>
          <w:highlight w:val="none"/>
          <w:lang w:val="en-US" w:eastAsia="zh-CN"/>
        </w:rPr>
        <w:t>供应商须</w:t>
      </w:r>
      <w:r>
        <w:rPr>
          <w:rFonts w:hint="eastAsia" w:ascii="仿宋" w:hAnsi="仿宋" w:eastAsia="仿宋" w:cs="仿宋"/>
          <w:bCs/>
          <w:sz w:val="28"/>
          <w:szCs w:val="28"/>
          <w:highlight w:val="none"/>
          <w:lang w:val="en-US" w:eastAsia="zh-CN"/>
        </w:rPr>
        <w:t>具备国家行政主管部门颁发的有效会计师事务所执业资格；（2）具有从事证券业务许可证（或按财会〔2020〕11号《会计师事务所从事证券服务业务备案管理办法》要求备案的供应商）。</w:t>
      </w:r>
    </w:p>
    <w:p w14:paraId="13CE0916">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lang w:val="en-US" w:eastAsia="zh-CN"/>
        </w:rPr>
        <w:t>3</w:t>
      </w:r>
      <w:r>
        <w:rPr>
          <w:rFonts w:hint="eastAsia" w:ascii="仿宋" w:hAnsi="仿宋" w:eastAsia="仿宋" w:cs="仿宋"/>
          <w:bCs/>
          <w:sz w:val="28"/>
          <w:szCs w:val="28"/>
          <w:highlight w:val="none"/>
        </w:rPr>
        <w:t>.法律法规要求：</w:t>
      </w:r>
    </w:p>
    <w:p w14:paraId="79CBC2F6">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rPr>
        <w:t>（1）单位负责人为同一人或者存在直接控股、管理关系的不同供应商，不得参加同一合同项下的采购活动。</w:t>
      </w:r>
    </w:p>
    <w:p w14:paraId="1DBEE179">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rPr>
        <w:t>（2）为采购项目提供整体设计、规范编制或者项目管理、监理、检测等服务的供应商不得参加该采购项目的采购活动。</w:t>
      </w:r>
    </w:p>
    <w:p w14:paraId="088BAC0B">
      <w:pPr>
        <w:autoSpaceDE w:val="0"/>
        <w:spacing w:line="480" w:lineRule="exact"/>
        <w:ind w:firstLine="560" w:firstLineChars="200"/>
        <w:rPr>
          <w:rFonts w:hint="eastAsia" w:ascii="仿宋" w:hAnsi="仿宋" w:eastAsia="仿宋" w:cs="仿宋"/>
          <w:bCs/>
          <w:sz w:val="28"/>
          <w:szCs w:val="28"/>
          <w:highlight w:val="none"/>
        </w:rPr>
      </w:pPr>
      <w:r>
        <w:rPr>
          <w:rFonts w:hint="eastAsia" w:ascii="仿宋" w:hAnsi="仿宋" w:eastAsia="仿宋" w:cs="仿宋"/>
          <w:bCs/>
          <w:sz w:val="28"/>
          <w:szCs w:val="28"/>
          <w:highlight w:val="none"/>
        </w:rPr>
        <w:t>（3）供应商被“信用中国”网站列入失信被执行人和重大税收违法案件当事人名单的、被“中国政府采购网”网站列入政府采购严重违法失信行为记录名单（处罚期限尚未届满的），不得参与本项目的采购活动。</w:t>
      </w:r>
    </w:p>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14:paraId="748F0CAD">
      <w:pPr>
        <w:spacing w:line="460" w:lineRule="exact"/>
        <w:rPr>
          <w:rStyle w:val="11"/>
          <w:rFonts w:hint="eastAsia" w:ascii="仿宋" w:hAnsi="仿宋" w:eastAsia="仿宋" w:cs="仿宋"/>
          <w:b/>
          <w:color w:val="000000"/>
          <w:sz w:val="28"/>
          <w:szCs w:val="28"/>
          <w:highlight w:val="none"/>
        </w:rPr>
      </w:pPr>
      <w:r>
        <w:rPr>
          <w:rStyle w:val="11"/>
          <w:rFonts w:hint="eastAsia" w:ascii="仿宋" w:hAnsi="仿宋" w:eastAsia="仿宋" w:cs="仿宋"/>
          <w:b/>
          <w:color w:val="000000"/>
          <w:sz w:val="28"/>
          <w:szCs w:val="28"/>
          <w:highlight w:val="none"/>
        </w:rPr>
        <w:t>三、获取采购文件</w:t>
      </w:r>
    </w:p>
    <w:p w14:paraId="6EABBB32">
      <w:pPr>
        <w:spacing w:line="440" w:lineRule="exact"/>
        <w:ind w:firstLine="54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时间：</w:t>
      </w:r>
      <w:r>
        <w:rPr>
          <w:rFonts w:hint="eastAsia" w:ascii="仿宋" w:hAnsi="仿宋" w:eastAsia="仿宋" w:cs="仿宋"/>
          <w:color w:val="auto"/>
          <w:sz w:val="28"/>
          <w:szCs w:val="28"/>
          <w:highlight w:val="none"/>
          <w:u w:val="single"/>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rPr>
        <w:t>年</w:t>
      </w:r>
      <w:r>
        <w:rPr>
          <w:rFonts w:hint="eastAsia" w:ascii="仿宋" w:hAnsi="仿宋" w:eastAsia="仿宋" w:cs="仿宋"/>
          <w:color w:val="auto"/>
          <w:sz w:val="28"/>
          <w:szCs w:val="28"/>
          <w:highlight w:val="none"/>
          <w:u w:val="single"/>
          <w:lang w:val="en-US" w:eastAsia="zh-CN"/>
        </w:rPr>
        <w:t>1</w:t>
      </w:r>
      <w:r>
        <w:rPr>
          <w:rFonts w:hint="eastAsia" w:ascii="仿宋" w:hAnsi="仿宋" w:eastAsia="仿宋" w:cs="仿宋"/>
          <w:bCs/>
          <w:color w:val="auto"/>
          <w:sz w:val="28"/>
          <w:szCs w:val="28"/>
          <w:highlight w:val="none"/>
          <w:u w:val="single"/>
          <w:lang w:val="en-US" w:eastAsia="zh-CN"/>
        </w:rPr>
        <w:t>月29日</w:t>
      </w:r>
      <w:r>
        <w:rPr>
          <w:rFonts w:hint="eastAsia" w:ascii="仿宋" w:hAnsi="仿宋" w:eastAsia="仿宋" w:cs="仿宋"/>
          <w:color w:val="auto"/>
          <w:sz w:val="28"/>
          <w:szCs w:val="28"/>
          <w:highlight w:val="none"/>
          <w:u w:val="single"/>
        </w:rPr>
        <w:t>至202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rPr>
        <w:t>年</w:t>
      </w:r>
      <w:r>
        <w:rPr>
          <w:rFonts w:hint="eastAsia" w:ascii="仿宋" w:hAnsi="仿宋" w:eastAsia="仿宋" w:cs="仿宋"/>
          <w:bCs/>
          <w:color w:val="auto"/>
          <w:sz w:val="28"/>
          <w:szCs w:val="28"/>
          <w:highlight w:val="none"/>
          <w:u w:val="single"/>
          <w:lang w:val="en-US" w:eastAsia="zh-CN"/>
        </w:rPr>
        <w:t>2月4日</w:t>
      </w:r>
      <w:r>
        <w:rPr>
          <w:rFonts w:hint="eastAsia" w:ascii="仿宋" w:hAnsi="仿宋" w:eastAsia="仿宋" w:cs="仿宋"/>
          <w:color w:val="auto"/>
          <w:sz w:val="28"/>
          <w:szCs w:val="28"/>
          <w:highlight w:val="none"/>
        </w:rPr>
        <w:t>，每天上午09:00至12:00，下午14:00至17:00（北京时间，法定节假日除外）</w:t>
      </w:r>
    </w:p>
    <w:p w14:paraId="6E2A9F71">
      <w:pPr>
        <w:spacing w:line="440" w:lineRule="exact"/>
        <w:ind w:firstLine="540"/>
        <w:rPr>
          <w:rFonts w:hint="eastAsia" w:ascii="仿宋" w:hAnsi="仿宋" w:eastAsia="仿宋" w:cs="仿宋"/>
          <w:color w:val="auto"/>
          <w:sz w:val="28"/>
          <w:szCs w:val="28"/>
          <w:highlight w:val="none"/>
          <w:u w:val="single"/>
        </w:rPr>
      </w:pPr>
      <w:r>
        <w:rPr>
          <w:rFonts w:hint="eastAsia" w:ascii="仿宋" w:hAnsi="仿宋" w:eastAsia="仿宋" w:cs="仿宋"/>
          <w:color w:val="auto"/>
          <w:sz w:val="28"/>
          <w:szCs w:val="28"/>
          <w:highlight w:val="none"/>
        </w:rPr>
        <w:t>地点：</w:t>
      </w:r>
      <w:r>
        <w:rPr>
          <w:rStyle w:val="11"/>
          <w:rFonts w:hint="eastAsia" w:ascii="仿宋" w:hAnsi="仿宋" w:eastAsia="仿宋" w:cs="仿宋"/>
          <w:color w:val="auto"/>
          <w:sz w:val="28"/>
          <w:szCs w:val="28"/>
          <w:highlight w:val="none"/>
        </w:rPr>
        <w:t>江西省永晋招标咨询有限公司（</w:t>
      </w:r>
      <w:r>
        <w:rPr>
          <w:rStyle w:val="11"/>
          <w:rFonts w:hint="eastAsia" w:ascii="仿宋" w:hAnsi="仿宋" w:eastAsia="仿宋" w:cs="仿宋"/>
          <w:color w:val="auto"/>
          <w:sz w:val="28"/>
          <w:szCs w:val="28"/>
          <w:highlight w:val="none"/>
          <w:lang w:eastAsia="zh-CN"/>
        </w:rPr>
        <w:t>江西省南昌市新建区长堎镇文化大道2225号东维生活广场2号楼第3层</w:t>
      </w:r>
      <w:r>
        <w:rPr>
          <w:rStyle w:val="11"/>
          <w:rFonts w:hint="eastAsia" w:ascii="仿宋" w:hAnsi="仿宋" w:eastAsia="仿宋" w:cs="仿宋"/>
          <w:color w:val="auto"/>
          <w:sz w:val="28"/>
          <w:szCs w:val="28"/>
          <w:highlight w:val="none"/>
        </w:rPr>
        <w:t>）</w:t>
      </w:r>
    </w:p>
    <w:p w14:paraId="251CAB3E">
      <w:pPr>
        <w:spacing w:line="440" w:lineRule="exact"/>
        <w:ind w:firstLine="54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方式：现场或网上获取磋商文件【现场：提供介绍信或法人授权委托书原件、项目报名登记表和营业执照扫描件。网上获取方式：请供应商将报名资料（介绍信或法人授权委托书原件扫描件、项目报名登记表（可打印手填）和营业执照扫描件）发送至代理邮箱：jxyjzb0791@163.com，代理机构收到报名邮件后通过电子邮件发送磋商文件】。报名咨询：0791-86286216。</w:t>
      </w:r>
    </w:p>
    <w:p w14:paraId="080982B8">
      <w:pPr>
        <w:spacing w:line="460" w:lineRule="exact"/>
        <w:ind w:firstLine="540"/>
        <w:rPr>
          <w:rStyle w:val="11"/>
          <w:rFonts w:hint="eastAsia" w:ascii="仿宋" w:hAnsi="仿宋" w:eastAsia="仿宋" w:cs="仿宋"/>
          <w:color w:val="auto"/>
          <w:sz w:val="28"/>
          <w:szCs w:val="28"/>
          <w:highlight w:val="none"/>
        </w:rPr>
      </w:pPr>
      <w:r>
        <w:rPr>
          <w:rStyle w:val="11"/>
          <w:rFonts w:hint="eastAsia" w:ascii="仿宋" w:hAnsi="仿宋" w:eastAsia="仿宋" w:cs="仿宋"/>
          <w:color w:val="auto"/>
          <w:sz w:val="28"/>
          <w:szCs w:val="28"/>
          <w:highlight w:val="none"/>
        </w:rPr>
        <w:t>售价：</w:t>
      </w:r>
      <w:r>
        <w:rPr>
          <w:rFonts w:hint="eastAsia" w:ascii="仿宋" w:hAnsi="仿宋" w:eastAsia="仿宋" w:cs="仿宋"/>
          <w:bCs/>
          <w:color w:val="auto"/>
          <w:sz w:val="28"/>
          <w:szCs w:val="28"/>
          <w:highlight w:val="none"/>
          <w:lang w:val="en-US" w:eastAsia="zh-CN"/>
        </w:rPr>
        <w:t>300元</w:t>
      </w:r>
      <w:r>
        <w:rPr>
          <w:rFonts w:hint="eastAsia" w:ascii="仿宋" w:hAnsi="仿宋" w:eastAsia="仿宋" w:cs="仿宋"/>
          <w:bCs/>
          <w:color w:val="auto"/>
          <w:sz w:val="28"/>
          <w:szCs w:val="28"/>
          <w:highlight w:val="none"/>
        </w:rPr>
        <w:t>。</w:t>
      </w:r>
    </w:p>
    <w:p w14:paraId="597B580B">
      <w:pPr>
        <w:spacing w:line="460" w:lineRule="exact"/>
        <w:rPr>
          <w:rStyle w:val="11"/>
          <w:rFonts w:hint="eastAsia" w:ascii="仿宋" w:hAnsi="仿宋" w:eastAsia="仿宋" w:cs="仿宋"/>
          <w:b/>
          <w:color w:val="auto"/>
          <w:sz w:val="28"/>
          <w:szCs w:val="28"/>
          <w:highlight w:val="none"/>
        </w:rPr>
      </w:pPr>
      <w:r>
        <w:rPr>
          <w:rStyle w:val="11"/>
          <w:rFonts w:hint="eastAsia" w:ascii="仿宋" w:hAnsi="仿宋" w:eastAsia="仿宋" w:cs="仿宋"/>
          <w:b/>
          <w:color w:val="auto"/>
          <w:sz w:val="28"/>
          <w:szCs w:val="28"/>
          <w:highlight w:val="none"/>
        </w:rPr>
        <w:t>四、响应文件提交</w:t>
      </w:r>
    </w:p>
    <w:p w14:paraId="10EB444C">
      <w:pPr>
        <w:spacing w:line="460" w:lineRule="exact"/>
        <w:ind w:firstLine="560" w:firstLineChars="200"/>
        <w:rPr>
          <w:rStyle w:val="11"/>
          <w:rFonts w:hint="eastAsia" w:ascii="仿宋" w:hAnsi="仿宋" w:eastAsia="仿宋" w:cs="仿宋"/>
          <w:bCs/>
          <w:color w:val="auto"/>
          <w:sz w:val="28"/>
          <w:szCs w:val="28"/>
          <w:highlight w:val="none"/>
          <w:u w:val="single"/>
        </w:rPr>
      </w:pPr>
      <w:r>
        <w:rPr>
          <w:rStyle w:val="11"/>
          <w:rFonts w:hint="eastAsia" w:ascii="仿宋" w:hAnsi="仿宋" w:eastAsia="仿宋" w:cs="仿宋"/>
          <w:color w:val="auto"/>
          <w:sz w:val="28"/>
          <w:szCs w:val="28"/>
          <w:highlight w:val="none"/>
        </w:rPr>
        <w:t>截止时间：</w:t>
      </w:r>
      <w:r>
        <w:rPr>
          <w:rFonts w:hint="eastAsia" w:ascii="仿宋" w:hAnsi="仿宋" w:eastAsia="仿宋" w:cs="仿宋"/>
          <w:color w:val="auto"/>
          <w:sz w:val="28"/>
          <w:szCs w:val="28"/>
          <w:highlight w:val="none"/>
          <w:u w:val="single"/>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rPr>
        <w:t>年</w:t>
      </w:r>
      <w:r>
        <w:rPr>
          <w:rFonts w:hint="eastAsia" w:ascii="仿宋" w:hAnsi="仿宋" w:eastAsia="仿宋" w:cs="仿宋"/>
          <w:bCs/>
          <w:color w:val="auto"/>
          <w:sz w:val="28"/>
          <w:szCs w:val="28"/>
          <w:highlight w:val="none"/>
          <w:u w:val="single"/>
          <w:lang w:val="en-US" w:eastAsia="zh-CN"/>
        </w:rPr>
        <w:t>2月9日15</w:t>
      </w:r>
      <w:r>
        <w:rPr>
          <w:rFonts w:hint="eastAsia" w:ascii="仿宋" w:hAnsi="仿宋" w:eastAsia="仿宋" w:cs="仿宋"/>
          <w:color w:val="auto"/>
          <w:sz w:val="28"/>
          <w:szCs w:val="28"/>
          <w:highlight w:val="none"/>
          <w:u w:val="single"/>
        </w:rPr>
        <w:t>点</w:t>
      </w:r>
      <w:r>
        <w:rPr>
          <w:rFonts w:hint="eastAsia" w:ascii="仿宋" w:hAnsi="仿宋" w:eastAsia="仿宋" w:cs="仿宋"/>
          <w:color w:val="auto"/>
          <w:sz w:val="28"/>
          <w:szCs w:val="28"/>
          <w:highlight w:val="none"/>
          <w:u w:val="single"/>
          <w:lang w:val="en-US" w:eastAsia="zh-CN"/>
        </w:rPr>
        <w:t>00</w:t>
      </w:r>
      <w:r>
        <w:rPr>
          <w:rFonts w:hint="eastAsia" w:ascii="仿宋" w:hAnsi="仿宋" w:eastAsia="仿宋" w:cs="仿宋"/>
          <w:color w:val="auto"/>
          <w:sz w:val="28"/>
          <w:szCs w:val="28"/>
          <w:highlight w:val="none"/>
          <w:u w:val="single"/>
        </w:rPr>
        <w:t>分</w:t>
      </w:r>
      <w:r>
        <w:rPr>
          <w:rStyle w:val="11"/>
          <w:rFonts w:hint="eastAsia" w:ascii="仿宋" w:hAnsi="仿宋" w:eastAsia="仿宋" w:cs="仿宋"/>
          <w:bCs/>
          <w:color w:val="auto"/>
          <w:sz w:val="28"/>
          <w:szCs w:val="28"/>
          <w:highlight w:val="none"/>
        </w:rPr>
        <w:t>（北京时间）</w:t>
      </w:r>
    </w:p>
    <w:p w14:paraId="64123386">
      <w:pPr>
        <w:spacing w:line="440" w:lineRule="exact"/>
        <w:ind w:firstLine="540"/>
        <w:rPr>
          <w:rFonts w:hint="eastAsia" w:ascii="仿宋" w:hAnsi="仿宋" w:eastAsia="仿宋" w:cs="仿宋"/>
          <w:bCs/>
          <w:color w:val="auto"/>
          <w:sz w:val="28"/>
          <w:szCs w:val="28"/>
          <w:highlight w:val="none"/>
        </w:rPr>
      </w:pPr>
      <w:r>
        <w:rPr>
          <w:rStyle w:val="11"/>
          <w:rFonts w:hint="eastAsia" w:ascii="仿宋" w:hAnsi="仿宋" w:eastAsia="仿宋" w:cs="仿宋"/>
          <w:color w:val="auto"/>
          <w:sz w:val="28"/>
          <w:szCs w:val="28"/>
          <w:highlight w:val="none"/>
        </w:rPr>
        <w:t>地点：江西省永晋招标咨询有限公司（</w:t>
      </w:r>
      <w:r>
        <w:rPr>
          <w:rStyle w:val="11"/>
          <w:rFonts w:hint="eastAsia" w:ascii="仿宋" w:hAnsi="仿宋" w:eastAsia="仿宋" w:cs="仿宋"/>
          <w:color w:val="auto"/>
          <w:sz w:val="28"/>
          <w:szCs w:val="28"/>
          <w:highlight w:val="none"/>
          <w:lang w:eastAsia="zh-CN"/>
        </w:rPr>
        <w:t>江西省南昌市新建区长堎镇文化大道2225号东维生活广场2号楼第3层</w:t>
      </w:r>
      <w:r>
        <w:rPr>
          <w:rStyle w:val="11"/>
          <w:rFonts w:hint="eastAsia" w:ascii="仿宋" w:hAnsi="仿宋" w:eastAsia="仿宋" w:cs="仿宋"/>
          <w:color w:val="auto"/>
          <w:sz w:val="28"/>
          <w:szCs w:val="28"/>
          <w:highlight w:val="none"/>
        </w:rPr>
        <w:t>）。届时请供应商的法定代表人或经正式授权的代表携带身份证原件出席磋商大会，签到时间以递交响应文件时间为准</w:t>
      </w:r>
      <w:r>
        <w:rPr>
          <w:rFonts w:hint="eastAsia" w:ascii="仿宋" w:hAnsi="仿宋" w:eastAsia="仿宋" w:cs="仿宋"/>
          <w:color w:val="auto"/>
          <w:sz w:val="28"/>
          <w:szCs w:val="28"/>
          <w:highlight w:val="none"/>
        </w:rPr>
        <w:t>。</w:t>
      </w:r>
    </w:p>
    <w:p w14:paraId="32D49D60">
      <w:pPr>
        <w:spacing w:line="460" w:lineRule="exact"/>
        <w:rPr>
          <w:rStyle w:val="11"/>
          <w:rFonts w:hint="eastAsia" w:ascii="仿宋" w:hAnsi="仿宋" w:eastAsia="仿宋" w:cs="仿宋"/>
          <w:b/>
          <w:color w:val="auto"/>
          <w:sz w:val="28"/>
          <w:szCs w:val="28"/>
          <w:highlight w:val="none"/>
        </w:rPr>
      </w:pPr>
      <w:r>
        <w:rPr>
          <w:rStyle w:val="11"/>
          <w:rFonts w:hint="eastAsia" w:ascii="仿宋" w:hAnsi="仿宋" w:eastAsia="仿宋" w:cs="仿宋"/>
          <w:b/>
          <w:color w:val="auto"/>
          <w:sz w:val="28"/>
          <w:szCs w:val="28"/>
          <w:highlight w:val="none"/>
        </w:rPr>
        <w:t>五、开启</w:t>
      </w:r>
    </w:p>
    <w:p w14:paraId="010D8004">
      <w:pPr>
        <w:spacing w:line="460" w:lineRule="exact"/>
        <w:ind w:firstLine="560" w:firstLineChars="200"/>
        <w:rPr>
          <w:rStyle w:val="11"/>
          <w:rFonts w:hint="eastAsia" w:ascii="仿宋" w:hAnsi="仿宋" w:eastAsia="仿宋" w:cs="仿宋"/>
          <w:bCs/>
          <w:color w:val="000000"/>
          <w:sz w:val="28"/>
          <w:szCs w:val="28"/>
          <w:highlight w:val="none"/>
          <w:u w:val="single"/>
        </w:rPr>
      </w:pPr>
      <w:r>
        <w:rPr>
          <w:rStyle w:val="11"/>
          <w:rFonts w:hint="eastAsia" w:ascii="仿宋" w:hAnsi="仿宋" w:eastAsia="仿宋" w:cs="仿宋"/>
          <w:color w:val="auto"/>
          <w:sz w:val="28"/>
          <w:szCs w:val="28"/>
          <w:highlight w:val="none"/>
        </w:rPr>
        <w:t>时间：</w:t>
      </w:r>
      <w:r>
        <w:rPr>
          <w:rFonts w:hint="eastAsia" w:ascii="仿宋" w:hAnsi="仿宋" w:eastAsia="仿宋" w:cs="仿宋"/>
          <w:color w:val="auto"/>
          <w:sz w:val="28"/>
          <w:szCs w:val="28"/>
          <w:highlight w:val="none"/>
          <w:u w:val="single"/>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rPr>
        <w:t>年</w:t>
      </w:r>
      <w:r>
        <w:rPr>
          <w:rFonts w:hint="eastAsia" w:ascii="仿宋" w:hAnsi="仿宋" w:eastAsia="仿宋" w:cs="仿宋"/>
          <w:bCs/>
          <w:color w:val="auto"/>
          <w:sz w:val="28"/>
          <w:szCs w:val="28"/>
          <w:highlight w:val="none"/>
          <w:u w:val="single"/>
          <w:lang w:val="en-US" w:eastAsia="zh-CN"/>
        </w:rPr>
        <w:t>2月9日15</w:t>
      </w:r>
      <w:r>
        <w:rPr>
          <w:rFonts w:hint="eastAsia" w:ascii="仿宋" w:hAnsi="仿宋" w:eastAsia="仿宋" w:cs="仿宋"/>
          <w:color w:val="auto"/>
          <w:sz w:val="28"/>
          <w:szCs w:val="28"/>
          <w:highlight w:val="none"/>
          <w:u w:val="single"/>
        </w:rPr>
        <w:t>点</w:t>
      </w:r>
      <w:r>
        <w:rPr>
          <w:rFonts w:hint="eastAsia" w:ascii="仿宋" w:hAnsi="仿宋" w:eastAsia="仿宋" w:cs="仿宋"/>
          <w:color w:val="auto"/>
          <w:sz w:val="28"/>
          <w:szCs w:val="28"/>
          <w:highlight w:val="none"/>
          <w:u w:val="single"/>
          <w:lang w:val="en-US" w:eastAsia="zh-CN"/>
        </w:rPr>
        <w:t>00</w:t>
      </w:r>
      <w:r>
        <w:rPr>
          <w:rFonts w:hint="eastAsia" w:ascii="仿宋" w:hAnsi="仿宋" w:eastAsia="仿宋" w:cs="仿宋"/>
          <w:color w:val="auto"/>
          <w:sz w:val="28"/>
          <w:szCs w:val="28"/>
          <w:highlight w:val="none"/>
          <w:u w:val="single"/>
        </w:rPr>
        <w:t>分</w:t>
      </w:r>
      <w:r>
        <w:rPr>
          <w:rStyle w:val="11"/>
          <w:rFonts w:hint="eastAsia" w:ascii="仿宋" w:hAnsi="仿宋" w:eastAsia="仿宋" w:cs="仿宋"/>
          <w:bCs/>
          <w:color w:val="auto"/>
          <w:sz w:val="28"/>
          <w:szCs w:val="28"/>
          <w:highlight w:val="none"/>
        </w:rPr>
        <w:t>（北</w:t>
      </w:r>
      <w:r>
        <w:rPr>
          <w:rStyle w:val="11"/>
          <w:rFonts w:hint="eastAsia" w:ascii="仿宋" w:hAnsi="仿宋" w:eastAsia="仿宋" w:cs="仿宋"/>
          <w:bCs/>
          <w:color w:val="000000"/>
          <w:sz w:val="28"/>
          <w:szCs w:val="28"/>
          <w:highlight w:val="none"/>
        </w:rPr>
        <w:t>京时间）</w:t>
      </w:r>
    </w:p>
    <w:p w14:paraId="12891004">
      <w:pPr>
        <w:spacing w:line="440" w:lineRule="exact"/>
        <w:ind w:firstLine="560" w:firstLineChars="200"/>
        <w:rPr>
          <w:rFonts w:hint="eastAsia" w:ascii="仿宋" w:hAnsi="仿宋" w:eastAsia="仿宋" w:cs="仿宋"/>
          <w:bCs/>
          <w:color w:val="000000"/>
          <w:sz w:val="28"/>
          <w:szCs w:val="28"/>
          <w:highlight w:val="none"/>
        </w:rPr>
      </w:pPr>
      <w:r>
        <w:rPr>
          <w:rStyle w:val="11"/>
          <w:rFonts w:hint="eastAsia" w:ascii="仿宋" w:hAnsi="仿宋" w:eastAsia="仿宋" w:cs="仿宋"/>
          <w:color w:val="000000"/>
          <w:sz w:val="28"/>
          <w:szCs w:val="28"/>
          <w:highlight w:val="none"/>
        </w:rPr>
        <w:t>地点：江西省永晋招标咨询有限公司（</w:t>
      </w:r>
      <w:r>
        <w:rPr>
          <w:rStyle w:val="11"/>
          <w:rFonts w:hint="eastAsia" w:ascii="仿宋" w:hAnsi="仿宋" w:eastAsia="仿宋" w:cs="仿宋"/>
          <w:color w:val="000000"/>
          <w:sz w:val="28"/>
          <w:szCs w:val="28"/>
          <w:highlight w:val="none"/>
          <w:lang w:eastAsia="zh-CN"/>
        </w:rPr>
        <w:t>江西省南昌市新建区长堎镇文化大道2225号东维生活广场2号楼第3层</w:t>
      </w:r>
      <w:r>
        <w:rPr>
          <w:rStyle w:val="11"/>
          <w:rFonts w:hint="eastAsia" w:ascii="仿宋" w:hAnsi="仿宋" w:eastAsia="仿宋" w:cs="仿宋"/>
          <w:color w:val="000000"/>
          <w:sz w:val="28"/>
          <w:szCs w:val="28"/>
          <w:highlight w:val="none"/>
        </w:rPr>
        <w:t>）。届时请供应商的法定代表人或经正式授权的代表携带身份证原件出席磋商大会，签到时间以递交响应文件时间为准</w:t>
      </w:r>
      <w:r>
        <w:rPr>
          <w:rFonts w:hint="eastAsia" w:ascii="仿宋" w:hAnsi="仿宋" w:eastAsia="仿宋" w:cs="仿宋"/>
          <w:color w:val="000000"/>
          <w:sz w:val="28"/>
          <w:szCs w:val="28"/>
          <w:highlight w:val="none"/>
        </w:rPr>
        <w:t>。</w:t>
      </w:r>
    </w:p>
    <w:p w14:paraId="502AFD7A">
      <w:pPr>
        <w:spacing w:line="460" w:lineRule="exact"/>
        <w:rPr>
          <w:rStyle w:val="11"/>
          <w:rFonts w:hint="eastAsia" w:ascii="仿宋" w:hAnsi="仿宋" w:eastAsia="仿宋" w:cs="仿宋"/>
          <w:b/>
          <w:bCs/>
          <w:color w:val="000000"/>
          <w:sz w:val="28"/>
          <w:szCs w:val="28"/>
          <w:highlight w:val="none"/>
        </w:rPr>
      </w:pPr>
      <w:r>
        <w:rPr>
          <w:rStyle w:val="11"/>
          <w:rFonts w:hint="eastAsia" w:ascii="仿宋" w:hAnsi="仿宋" w:eastAsia="仿宋" w:cs="仿宋"/>
          <w:b/>
          <w:color w:val="000000"/>
          <w:sz w:val="28"/>
          <w:szCs w:val="28"/>
          <w:highlight w:val="none"/>
        </w:rPr>
        <w:t>六、</w:t>
      </w:r>
      <w:r>
        <w:rPr>
          <w:rStyle w:val="11"/>
          <w:rFonts w:hint="eastAsia" w:ascii="仿宋" w:hAnsi="仿宋" w:eastAsia="仿宋" w:cs="仿宋"/>
          <w:b/>
          <w:bCs/>
          <w:color w:val="000000"/>
          <w:sz w:val="28"/>
          <w:szCs w:val="28"/>
          <w:highlight w:val="none"/>
        </w:rPr>
        <w:t>公告期限</w:t>
      </w:r>
    </w:p>
    <w:p w14:paraId="33EBE962">
      <w:pPr>
        <w:spacing w:line="460" w:lineRule="exact"/>
        <w:ind w:firstLine="560" w:firstLineChars="200"/>
        <w:rPr>
          <w:rStyle w:val="11"/>
          <w:rFonts w:hint="eastAsia" w:ascii="仿宋" w:hAnsi="仿宋" w:eastAsia="仿宋" w:cs="仿宋"/>
          <w:color w:val="000000"/>
          <w:sz w:val="28"/>
          <w:szCs w:val="28"/>
          <w:highlight w:val="none"/>
        </w:rPr>
      </w:pPr>
      <w:r>
        <w:rPr>
          <w:rStyle w:val="11"/>
          <w:rFonts w:hint="eastAsia" w:ascii="仿宋" w:hAnsi="仿宋" w:eastAsia="仿宋" w:cs="仿宋"/>
          <w:color w:val="000000"/>
          <w:sz w:val="28"/>
          <w:szCs w:val="28"/>
          <w:highlight w:val="none"/>
        </w:rPr>
        <w:t>自本公告发布之日起3个工作日。</w:t>
      </w:r>
    </w:p>
    <w:p w14:paraId="1A5B236A">
      <w:pPr>
        <w:spacing w:line="460" w:lineRule="exact"/>
        <w:rPr>
          <w:rStyle w:val="11"/>
          <w:rFonts w:hint="eastAsia" w:ascii="仿宋" w:hAnsi="仿宋" w:eastAsia="仿宋" w:cs="仿宋"/>
          <w:bCs/>
          <w:color w:val="000000"/>
          <w:sz w:val="28"/>
          <w:szCs w:val="28"/>
          <w:highlight w:val="none"/>
        </w:rPr>
      </w:pPr>
      <w:r>
        <w:rPr>
          <w:rStyle w:val="11"/>
          <w:rFonts w:hint="eastAsia" w:ascii="仿宋" w:hAnsi="仿宋" w:eastAsia="仿宋" w:cs="仿宋"/>
          <w:b/>
          <w:color w:val="000000"/>
          <w:sz w:val="28"/>
          <w:szCs w:val="28"/>
          <w:highlight w:val="none"/>
        </w:rPr>
        <w:t>七、其他补充事宜：无。</w:t>
      </w:r>
    </w:p>
    <w:p w14:paraId="7186FE3B">
      <w:pPr>
        <w:spacing w:line="460" w:lineRule="exact"/>
        <w:rPr>
          <w:rStyle w:val="11"/>
          <w:rFonts w:hint="eastAsia" w:ascii="仿宋" w:hAnsi="仿宋" w:eastAsia="仿宋" w:cs="仿宋"/>
          <w:b/>
          <w:color w:val="000000"/>
          <w:sz w:val="28"/>
          <w:szCs w:val="28"/>
          <w:highlight w:val="none"/>
        </w:rPr>
      </w:pPr>
      <w:r>
        <w:rPr>
          <w:rStyle w:val="11"/>
          <w:rFonts w:hint="eastAsia" w:ascii="仿宋" w:hAnsi="仿宋" w:eastAsia="仿宋" w:cs="仿宋"/>
          <w:b/>
          <w:color w:val="000000"/>
          <w:sz w:val="28"/>
          <w:szCs w:val="28"/>
          <w:highlight w:val="none"/>
        </w:rPr>
        <w:t>八、凡对本次采购提出询问，请按以下方式联系：</w:t>
      </w:r>
    </w:p>
    <w:p w14:paraId="35870AFC">
      <w:pPr>
        <w:spacing w:line="440" w:lineRule="exact"/>
        <w:ind w:firstLine="560" w:firstLineChars="200"/>
        <w:rPr>
          <w:rFonts w:hint="eastAsia" w:ascii="仿宋" w:hAnsi="仿宋" w:eastAsia="仿宋" w:cs="仿宋"/>
          <w:sz w:val="28"/>
          <w:szCs w:val="28"/>
          <w:highlight w:val="none"/>
        </w:rPr>
      </w:pPr>
      <w:bookmarkStart w:id="24" w:name="_Toc28359019"/>
      <w:bookmarkStart w:id="25" w:name="_Toc35393637"/>
      <w:bookmarkStart w:id="26" w:name="_Toc28359096"/>
      <w:bookmarkStart w:id="27" w:name="_Toc35393806"/>
      <w:r>
        <w:rPr>
          <w:rFonts w:hint="eastAsia" w:ascii="仿宋" w:hAnsi="仿宋" w:eastAsia="仿宋" w:cs="仿宋"/>
          <w:sz w:val="28"/>
          <w:szCs w:val="28"/>
          <w:highlight w:val="none"/>
        </w:rPr>
        <w:t>1.采购人信息</w:t>
      </w:r>
      <w:bookmarkEnd w:id="24"/>
      <w:bookmarkEnd w:id="25"/>
      <w:bookmarkEnd w:id="26"/>
      <w:bookmarkEnd w:id="27"/>
    </w:p>
    <w:p w14:paraId="24A3E2AB">
      <w:pPr>
        <w:spacing w:line="440" w:lineRule="exact"/>
        <w:ind w:firstLine="840" w:firstLineChars="300"/>
        <w:rPr>
          <w:rFonts w:hint="eastAsia" w:ascii="仿宋" w:hAnsi="仿宋" w:eastAsia="仿宋" w:cs="仿宋"/>
          <w:sz w:val="28"/>
          <w:szCs w:val="28"/>
          <w:highlight w:val="none"/>
        </w:rPr>
      </w:pPr>
      <w:r>
        <w:rPr>
          <w:rFonts w:hint="eastAsia" w:ascii="仿宋" w:hAnsi="仿宋" w:eastAsia="仿宋" w:cs="仿宋"/>
          <w:sz w:val="28"/>
          <w:szCs w:val="28"/>
          <w:highlight w:val="none"/>
        </w:rPr>
        <w:t>名    称：赣州银行股份有限公司</w:t>
      </w:r>
    </w:p>
    <w:p w14:paraId="64AF5F05">
      <w:pPr>
        <w:spacing w:line="440" w:lineRule="exact"/>
        <w:ind w:firstLine="840" w:firstLineChars="300"/>
        <w:rPr>
          <w:rFonts w:hint="eastAsia" w:ascii="仿宋" w:hAnsi="仿宋" w:eastAsia="仿宋" w:cs="仿宋"/>
          <w:sz w:val="28"/>
          <w:szCs w:val="28"/>
          <w:highlight w:val="none"/>
        </w:rPr>
      </w:pPr>
      <w:bookmarkStart w:id="28" w:name="_Toc28359097"/>
      <w:bookmarkStart w:id="29" w:name="_Toc35393807"/>
      <w:bookmarkStart w:id="30" w:name="_Toc35393638"/>
      <w:bookmarkStart w:id="31" w:name="_Toc28359020"/>
      <w:r>
        <w:rPr>
          <w:rFonts w:hint="eastAsia" w:ascii="仿宋" w:hAnsi="仿宋" w:eastAsia="仿宋" w:cs="仿宋"/>
          <w:sz w:val="28"/>
          <w:szCs w:val="28"/>
          <w:highlight w:val="none"/>
        </w:rPr>
        <w:t>地    址：赣州市赣江源大道26号</w:t>
      </w:r>
    </w:p>
    <w:p w14:paraId="38FD06D5">
      <w:pPr>
        <w:spacing w:line="440" w:lineRule="exact"/>
        <w:ind w:firstLine="840" w:firstLineChars="30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联 系 人：梅女士、邓先生</w:t>
      </w:r>
    </w:p>
    <w:p w14:paraId="65929E22">
      <w:pPr>
        <w:spacing w:line="440" w:lineRule="exact"/>
        <w:ind w:firstLine="840" w:firstLineChars="300"/>
        <w:rPr>
          <w:rFonts w:hint="eastAsia" w:ascii="仿宋" w:hAnsi="仿宋" w:eastAsia="仿宋" w:cs="仿宋"/>
          <w:color w:val="333333"/>
          <w:sz w:val="27"/>
          <w:szCs w:val="27"/>
          <w:highlight w:val="none"/>
        </w:rPr>
      </w:pPr>
      <w:r>
        <w:rPr>
          <w:rFonts w:hint="eastAsia" w:ascii="仿宋" w:hAnsi="仿宋" w:eastAsia="仿宋" w:cs="仿宋"/>
          <w:sz w:val="28"/>
          <w:szCs w:val="28"/>
          <w:highlight w:val="none"/>
        </w:rPr>
        <w:t>联系方式：</w:t>
      </w:r>
      <w:r>
        <w:rPr>
          <w:rFonts w:hint="eastAsia" w:ascii="仿宋" w:hAnsi="仿宋" w:eastAsia="仿宋" w:cs="仿宋"/>
          <w:sz w:val="28"/>
          <w:szCs w:val="28"/>
          <w:highlight w:val="none"/>
          <w:lang w:eastAsia="zh-CN"/>
        </w:rPr>
        <w:t>0797-8100953</w:t>
      </w:r>
    </w:p>
    <w:bookmarkEnd w:id="28"/>
    <w:bookmarkEnd w:id="29"/>
    <w:bookmarkEnd w:id="30"/>
    <w:bookmarkEnd w:id="31"/>
    <w:p w14:paraId="4E2EDEE8">
      <w:pPr>
        <w:spacing w:line="460" w:lineRule="exact"/>
        <w:ind w:firstLine="560" w:firstLineChars="200"/>
        <w:rPr>
          <w:rStyle w:val="11"/>
          <w:rFonts w:hint="eastAsia" w:ascii="仿宋" w:hAnsi="仿宋" w:eastAsia="仿宋" w:cs="仿宋"/>
          <w:bCs/>
          <w:color w:val="000000"/>
          <w:sz w:val="28"/>
          <w:szCs w:val="28"/>
          <w:highlight w:val="none"/>
        </w:rPr>
      </w:pPr>
      <w:r>
        <w:rPr>
          <w:rStyle w:val="11"/>
          <w:rFonts w:hint="eastAsia" w:ascii="仿宋" w:hAnsi="仿宋" w:eastAsia="仿宋" w:cs="仿宋"/>
          <w:bCs/>
          <w:color w:val="000000"/>
          <w:sz w:val="28"/>
          <w:szCs w:val="28"/>
          <w:highlight w:val="none"/>
        </w:rPr>
        <w:t>2.采购代理机构信息</w:t>
      </w:r>
    </w:p>
    <w:p w14:paraId="7DE09EC4">
      <w:pPr>
        <w:spacing w:line="460" w:lineRule="exact"/>
        <w:ind w:left="1128" w:leftChars="400" w:hanging="288" w:hangingChars="103"/>
        <w:jc w:val="left"/>
        <w:rPr>
          <w:rStyle w:val="11"/>
          <w:rFonts w:hint="eastAsia" w:ascii="仿宋" w:hAnsi="仿宋" w:eastAsia="仿宋" w:cs="仿宋"/>
          <w:color w:val="000000"/>
          <w:sz w:val="28"/>
          <w:szCs w:val="28"/>
          <w:highlight w:val="none"/>
        </w:rPr>
      </w:pPr>
      <w:r>
        <w:rPr>
          <w:rStyle w:val="11"/>
          <w:rFonts w:hint="eastAsia" w:ascii="仿宋" w:hAnsi="仿宋" w:eastAsia="仿宋" w:cs="仿宋"/>
          <w:color w:val="000000"/>
          <w:sz w:val="28"/>
          <w:szCs w:val="28"/>
          <w:highlight w:val="none"/>
        </w:rPr>
        <w:t>名称：江西省永晋招标咨询有限公司</w:t>
      </w:r>
    </w:p>
    <w:p w14:paraId="29388563">
      <w:pPr>
        <w:spacing w:line="460" w:lineRule="exact"/>
        <w:ind w:left="1128" w:leftChars="400" w:hanging="288" w:hangingChars="103"/>
        <w:jc w:val="left"/>
        <w:rPr>
          <w:rStyle w:val="11"/>
          <w:rFonts w:hint="eastAsia" w:ascii="仿宋" w:hAnsi="仿宋" w:eastAsia="仿宋" w:cs="仿宋"/>
          <w:color w:val="000000"/>
          <w:sz w:val="28"/>
          <w:szCs w:val="28"/>
          <w:highlight w:val="none"/>
          <w:lang w:eastAsia="zh-CN"/>
        </w:rPr>
      </w:pPr>
      <w:r>
        <w:rPr>
          <w:rStyle w:val="11"/>
          <w:rFonts w:hint="eastAsia" w:ascii="仿宋" w:hAnsi="仿宋" w:eastAsia="仿宋" w:cs="仿宋"/>
          <w:color w:val="000000"/>
          <w:sz w:val="28"/>
          <w:szCs w:val="28"/>
          <w:highlight w:val="none"/>
        </w:rPr>
        <w:t>地址：</w:t>
      </w:r>
      <w:r>
        <w:rPr>
          <w:rStyle w:val="11"/>
          <w:rFonts w:hint="eastAsia" w:ascii="仿宋" w:hAnsi="仿宋" w:eastAsia="仿宋" w:cs="仿宋"/>
          <w:color w:val="000000"/>
          <w:sz w:val="28"/>
          <w:szCs w:val="28"/>
          <w:highlight w:val="none"/>
          <w:lang w:eastAsia="zh-CN"/>
        </w:rPr>
        <w:t>江西省南昌市新建区长堎镇文化大道2225号东维生活广场2号楼第3层</w:t>
      </w:r>
    </w:p>
    <w:p w14:paraId="4D909418">
      <w:pPr>
        <w:spacing w:line="460" w:lineRule="exact"/>
        <w:ind w:left="1128" w:leftChars="400" w:hanging="288" w:hangingChars="103"/>
        <w:jc w:val="left"/>
        <w:rPr>
          <w:rStyle w:val="11"/>
          <w:rFonts w:hint="eastAsia" w:ascii="仿宋" w:hAnsi="仿宋" w:eastAsia="仿宋" w:cs="仿宋"/>
          <w:color w:val="000000"/>
          <w:sz w:val="28"/>
          <w:szCs w:val="28"/>
          <w:highlight w:val="none"/>
        </w:rPr>
      </w:pPr>
      <w:r>
        <w:rPr>
          <w:rStyle w:val="11"/>
          <w:rFonts w:hint="eastAsia" w:ascii="仿宋" w:hAnsi="仿宋" w:eastAsia="仿宋" w:cs="仿宋"/>
          <w:color w:val="000000"/>
          <w:sz w:val="28"/>
          <w:szCs w:val="28"/>
          <w:highlight w:val="none"/>
        </w:rPr>
        <w:t>联系方式：0791-86286216（报名咨询）</w:t>
      </w:r>
    </w:p>
    <w:p w14:paraId="3F1CA52F">
      <w:pPr>
        <w:spacing w:line="460" w:lineRule="exact"/>
        <w:ind w:firstLine="560" w:firstLineChars="200"/>
        <w:rPr>
          <w:rStyle w:val="11"/>
          <w:rFonts w:hint="eastAsia" w:ascii="仿宋" w:hAnsi="仿宋" w:eastAsia="仿宋" w:cs="仿宋"/>
          <w:color w:val="000000"/>
          <w:sz w:val="28"/>
          <w:szCs w:val="28"/>
          <w:highlight w:val="none"/>
        </w:rPr>
      </w:pPr>
      <w:r>
        <w:rPr>
          <w:rStyle w:val="11"/>
          <w:rFonts w:hint="eastAsia" w:ascii="仿宋" w:hAnsi="仿宋" w:eastAsia="仿宋" w:cs="仿宋"/>
          <w:color w:val="000000"/>
          <w:sz w:val="28"/>
          <w:szCs w:val="28"/>
          <w:highlight w:val="none"/>
        </w:rPr>
        <w:t>3.项目联系方式</w:t>
      </w:r>
    </w:p>
    <w:p w14:paraId="529FF7AB">
      <w:pPr>
        <w:spacing w:line="460" w:lineRule="exact"/>
        <w:ind w:left="1128" w:leftChars="400" w:hanging="288" w:hangingChars="103"/>
        <w:jc w:val="left"/>
        <w:rPr>
          <w:rStyle w:val="11"/>
          <w:rFonts w:hint="eastAsia" w:ascii="仿宋" w:hAnsi="仿宋" w:eastAsia="仿宋" w:cs="仿宋"/>
          <w:color w:val="000000"/>
          <w:sz w:val="28"/>
          <w:szCs w:val="28"/>
          <w:highlight w:val="none"/>
        </w:rPr>
      </w:pPr>
      <w:r>
        <w:rPr>
          <w:rStyle w:val="11"/>
          <w:rFonts w:hint="eastAsia" w:ascii="仿宋" w:hAnsi="仿宋" w:eastAsia="仿宋" w:cs="仿宋"/>
          <w:color w:val="000000"/>
          <w:sz w:val="28"/>
          <w:szCs w:val="28"/>
          <w:highlight w:val="none"/>
        </w:rPr>
        <w:t>项目联系人：</w:t>
      </w:r>
      <w:r>
        <w:rPr>
          <w:rFonts w:hint="eastAsia" w:ascii="仿宋" w:hAnsi="仿宋" w:eastAsia="仿宋" w:cs="仿宋"/>
          <w:color w:val="000000"/>
          <w:sz w:val="28"/>
          <w:szCs w:val="28"/>
          <w:highlight w:val="none"/>
        </w:rPr>
        <w:t>熊蕾云、</w:t>
      </w:r>
      <w:r>
        <w:rPr>
          <w:rFonts w:hint="eastAsia" w:ascii="仿宋" w:hAnsi="仿宋" w:eastAsia="仿宋" w:cs="仿宋"/>
          <w:color w:val="000000"/>
          <w:sz w:val="28"/>
          <w:szCs w:val="28"/>
          <w:highlight w:val="none"/>
          <w:lang w:val="en-US" w:eastAsia="zh-CN"/>
        </w:rPr>
        <w:t>石朋霞、徐娜、</w:t>
      </w:r>
      <w:r>
        <w:rPr>
          <w:rFonts w:hint="eastAsia" w:ascii="仿宋" w:hAnsi="仿宋" w:eastAsia="仿宋" w:cs="仿宋"/>
          <w:color w:val="000000"/>
          <w:sz w:val="28"/>
          <w:szCs w:val="28"/>
          <w:highlight w:val="none"/>
        </w:rPr>
        <w:t>郭玲、徐云海</w:t>
      </w:r>
    </w:p>
    <w:p w14:paraId="167AB6E3">
      <w:pPr>
        <w:spacing w:line="460" w:lineRule="exact"/>
        <w:ind w:left="1128" w:leftChars="400" w:hanging="288" w:hangingChars="103"/>
        <w:jc w:val="left"/>
        <w:rPr>
          <w:rStyle w:val="11"/>
          <w:rFonts w:hint="eastAsia" w:ascii="仿宋" w:hAnsi="仿宋" w:eastAsia="仿宋" w:cs="仿宋"/>
          <w:color w:val="000000"/>
          <w:sz w:val="28"/>
          <w:szCs w:val="28"/>
          <w:highlight w:val="none"/>
          <w:lang w:eastAsia="zh-CN"/>
        </w:rPr>
      </w:pPr>
      <w:r>
        <w:rPr>
          <w:rStyle w:val="11"/>
          <w:rFonts w:hint="eastAsia" w:ascii="仿宋" w:hAnsi="仿宋" w:eastAsia="仿宋" w:cs="仿宋"/>
          <w:color w:val="000000"/>
          <w:sz w:val="28"/>
          <w:szCs w:val="28"/>
          <w:highlight w:val="none"/>
        </w:rPr>
        <w:t>电话：0791-8628621</w:t>
      </w:r>
      <w:r>
        <w:rPr>
          <w:rStyle w:val="11"/>
          <w:rFonts w:hint="eastAsia" w:ascii="仿宋" w:hAnsi="仿宋" w:eastAsia="仿宋" w:cs="仿宋"/>
          <w:color w:val="000000"/>
          <w:sz w:val="28"/>
          <w:szCs w:val="28"/>
          <w:highlight w:val="none"/>
          <w:lang w:val="en-US" w:eastAsia="zh-CN"/>
        </w:rPr>
        <w:t>7</w:t>
      </w:r>
      <w:r>
        <w:rPr>
          <w:rStyle w:val="11"/>
          <w:rFonts w:hint="eastAsia" w:ascii="仿宋" w:hAnsi="仿宋" w:eastAsia="仿宋" w:cs="仿宋"/>
          <w:color w:val="000000"/>
          <w:sz w:val="28"/>
          <w:szCs w:val="28"/>
          <w:highlight w:val="none"/>
        </w:rPr>
        <w:t>（</w:t>
      </w:r>
      <w:r>
        <w:rPr>
          <w:rStyle w:val="11"/>
          <w:rFonts w:hint="eastAsia" w:ascii="仿宋" w:hAnsi="仿宋" w:eastAsia="仿宋" w:cs="仿宋"/>
          <w:color w:val="000000"/>
          <w:sz w:val="28"/>
          <w:szCs w:val="28"/>
          <w:highlight w:val="none"/>
          <w:lang w:val="en-US" w:eastAsia="zh-CN"/>
        </w:rPr>
        <w:t>项目</w:t>
      </w:r>
      <w:r>
        <w:rPr>
          <w:rStyle w:val="11"/>
          <w:rFonts w:hint="eastAsia" w:ascii="仿宋" w:hAnsi="仿宋" w:eastAsia="仿宋" w:cs="仿宋"/>
          <w:color w:val="000000"/>
          <w:sz w:val="28"/>
          <w:szCs w:val="28"/>
          <w:highlight w:val="none"/>
        </w:rPr>
        <w:t>咨询）</w:t>
      </w:r>
    </w:p>
    <w:p w14:paraId="449D2AE1">
      <w:pPr>
        <w:rPr>
          <w:rFonts w:hint="eastAsia" w:ascii="仿宋" w:hAnsi="仿宋" w:eastAsia="仿宋" w:cs="仿宋"/>
          <w:color w:val="auto"/>
          <w:sz w:val="28"/>
          <w:szCs w:val="28"/>
          <w:highlight w:val="none"/>
        </w:rPr>
      </w:pPr>
    </w:p>
    <w:p w14:paraId="312E9A41">
      <w:pPr>
        <w:pStyle w:val="2"/>
        <w:jc w:val="right"/>
        <w:rPr>
          <w:rFonts w:hint="default" w:eastAsia="仿宋"/>
          <w:b w:val="0"/>
          <w:bCs w:val="0"/>
          <w:color w:val="auto"/>
          <w:lang w:val="en-US" w:eastAsia="zh-CN"/>
        </w:rPr>
      </w:pPr>
      <w:r>
        <w:rPr>
          <w:rFonts w:hint="eastAsia" w:ascii="仿宋" w:hAnsi="仿宋" w:eastAsia="仿宋" w:cs="仿宋"/>
          <w:b w:val="0"/>
          <w:bCs w:val="0"/>
          <w:color w:val="auto"/>
          <w:sz w:val="28"/>
          <w:szCs w:val="28"/>
          <w:highlight w:val="none"/>
          <w:lang w:val="en-US" w:eastAsia="zh-CN"/>
        </w:rPr>
        <w:t xml:space="preserve">    2026年1月28日</w:t>
      </w:r>
      <w:bookmarkStart w:id="36" w:name="_GoBack"/>
      <w:bookmarkEnd w:id="36"/>
    </w:p>
    <w:p w14:paraId="7CD6A5FC">
      <w:pPr>
        <w:rPr>
          <w:color w:val="auto"/>
        </w:rPr>
      </w:pPr>
      <w:r>
        <w:rPr>
          <w:color w:val="auto"/>
        </w:rPr>
        <w:br w:type="page"/>
      </w:r>
    </w:p>
    <w:p w14:paraId="1D354D8C">
      <w:pPr>
        <w:pStyle w:val="2"/>
        <w:pageBreakBefore w:val="0"/>
        <w:kinsoku/>
        <w:wordWrap/>
        <w:overflowPunct/>
        <w:topLinePunct w:val="0"/>
        <w:bidi w:val="0"/>
        <w:spacing w:before="0" w:after="0" w:line="460" w:lineRule="exact"/>
        <w:ind w:left="0" w:leftChars="0" w:firstLine="0" w:firstLineChars="0"/>
        <w:jc w:val="left"/>
        <w:textAlignment w:val="auto"/>
        <w:rPr>
          <w:rFonts w:hint="eastAsia" w:ascii="仿宋" w:hAnsi="仿宋" w:eastAsia="仿宋"/>
          <w:b/>
          <w:color w:val="auto"/>
          <w:sz w:val="28"/>
          <w:szCs w:val="28"/>
          <w:highlight w:val="none"/>
          <w:lang w:eastAsia="zh-CN"/>
        </w:rPr>
      </w:pPr>
      <w:r>
        <w:rPr>
          <w:rFonts w:hint="eastAsia" w:ascii="仿宋" w:hAnsi="仿宋" w:eastAsia="仿宋"/>
          <w:b/>
          <w:color w:val="auto"/>
          <w:sz w:val="28"/>
          <w:szCs w:val="28"/>
          <w:highlight w:val="none"/>
        </w:rPr>
        <w:t>附件1</w:t>
      </w:r>
      <w:r>
        <w:rPr>
          <w:rFonts w:hint="eastAsia" w:ascii="仿宋" w:hAnsi="仿宋" w:eastAsia="仿宋"/>
          <w:b/>
          <w:color w:val="auto"/>
          <w:sz w:val="28"/>
          <w:szCs w:val="28"/>
          <w:highlight w:val="none"/>
          <w:lang w:eastAsia="zh-CN"/>
        </w:rPr>
        <w:t>：</w:t>
      </w:r>
      <w:bookmarkStart w:id="32" w:name="_Toc394"/>
    </w:p>
    <w:bookmarkEnd w:id="32"/>
    <w:p w14:paraId="37CEBCCF">
      <w:pPr>
        <w:pStyle w:val="3"/>
        <w:spacing w:line="460" w:lineRule="exact"/>
        <w:ind w:firstLine="0"/>
        <w:jc w:val="center"/>
        <w:rPr>
          <w:rFonts w:hint="default" w:ascii="仿宋" w:hAnsi="仿宋" w:eastAsia="仿宋" w:cs="Times New Roman"/>
          <w:b/>
          <w:bCs/>
          <w:color w:val="auto"/>
          <w:highlight w:val="none"/>
          <w:lang w:val="en-US" w:eastAsia="zh-CN"/>
        </w:rPr>
      </w:pPr>
      <w:r>
        <w:rPr>
          <w:rFonts w:hint="eastAsia" w:ascii="仿宋" w:hAnsi="仿宋" w:eastAsia="仿宋" w:cs="Times New Roman"/>
          <w:b/>
          <w:bCs/>
          <w:color w:val="auto"/>
          <w:highlight w:val="none"/>
          <w:lang w:val="en-US" w:eastAsia="zh-CN"/>
        </w:rPr>
        <w:t>磋商项目要求主要内容</w:t>
      </w:r>
    </w:p>
    <w:p w14:paraId="1981576F">
      <w:pPr>
        <w:pStyle w:val="3"/>
        <w:spacing w:line="460" w:lineRule="exact"/>
        <w:jc w:val="center"/>
        <w:rPr>
          <w:rFonts w:hint="eastAsia" w:ascii="仿宋" w:hAnsi="仿宋" w:eastAsia="仿宋" w:cs="仿宋"/>
          <w:color w:val="auto"/>
          <w:sz w:val="28"/>
          <w:szCs w:val="28"/>
          <w:highlight w:val="none"/>
          <w:lang w:eastAsia="zh-CN"/>
        </w:rPr>
      </w:pPr>
      <w:bookmarkStart w:id="33" w:name="_Toc21023"/>
      <w:bookmarkStart w:id="34" w:name="_Toc267313774"/>
      <w:r>
        <w:rPr>
          <w:rFonts w:hint="eastAsia" w:ascii="仿宋" w:hAnsi="仿宋" w:eastAsia="仿宋" w:cs="仿宋"/>
          <w:color w:val="auto"/>
          <w:sz w:val="28"/>
          <w:szCs w:val="28"/>
          <w:highlight w:val="none"/>
        </w:rPr>
        <w:t>（一）</w:t>
      </w:r>
      <w:r>
        <w:rPr>
          <w:rFonts w:hint="eastAsia" w:ascii="仿宋" w:hAnsi="仿宋" w:eastAsia="仿宋" w:cs="仿宋"/>
          <w:color w:val="auto"/>
          <w:sz w:val="28"/>
          <w:szCs w:val="28"/>
          <w:highlight w:val="none"/>
          <w:lang w:val="en-US" w:eastAsia="zh-CN"/>
        </w:rPr>
        <w:t>磋商技术要求</w:t>
      </w:r>
      <w:bookmarkEnd w:id="33"/>
    </w:p>
    <w:p w14:paraId="49ABA245">
      <w:pPr>
        <w:adjustRightInd w:val="0"/>
        <w:snapToGrid w:val="0"/>
        <w:spacing w:line="360" w:lineRule="auto"/>
        <w:ind w:firstLine="562" w:firstLineChars="200"/>
        <w:rPr>
          <w:rFonts w:hint="eastAsia" w:ascii="仿宋" w:hAnsi="仿宋" w:eastAsia="仿宋" w:cs="仿宋"/>
          <w:b/>
          <w:bCs/>
          <w:color w:val="auto"/>
          <w:kern w:val="0"/>
          <w:sz w:val="28"/>
          <w:szCs w:val="28"/>
          <w:highlight w:val="none"/>
          <w:lang w:val="en-US" w:eastAsia="zh-CN"/>
        </w:rPr>
      </w:pPr>
      <w:bookmarkStart w:id="35" w:name="_Toc13025"/>
      <w:r>
        <w:rPr>
          <w:rFonts w:hint="eastAsia" w:ascii="仿宋" w:hAnsi="仿宋" w:eastAsia="仿宋" w:cs="仿宋"/>
          <w:b/>
          <w:bCs/>
          <w:color w:val="auto"/>
          <w:kern w:val="0"/>
          <w:sz w:val="28"/>
          <w:szCs w:val="28"/>
          <w:highlight w:val="none"/>
          <w:lang w:val="en-US" w:eastAsia="zh-CN"/>
        </w:rPr>
        <w:t>一、总体要求</w:t>
      </w:r>
    </w:p>
    <w:p w14:paraId="6A7B534C">
      <w:pPr>
        <w:adjustRightInd w:val="0"/>
        <w:snapToGrid w:val="0"/>
        <w:spacing w:line="360" w:lineRule="auto"/>
        <w:ind w:firstLine="560" w:firstLineChars="200"/>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根据国家、监管部门和赣州银行全面业务管理方面的要求，依据法律法规、行业规范、银行监管制度和评级细则和行内制度规范，对赣州银行资金营运中心2023年1月1日至2025年6月30日经营管理情况进行全面审计，包括但不限于内控有效性、业务合法合规性、风险管理的有效性、交易机制的健全性、经营效益性评估、人员交易能力评估和岗位监督管理等方面，充分有效揭示和发现问题，综合分析存在的风险成因，提出相应的整改方案，确保本项目的所有成果、方案和措施具有实际可用性、可具体落地使用。审计对象范围：资金营运中心开展的所有业务，包括债券投资、基金投资、票据业务、资金业务、同业投资、代客理财业务等。此次抽样检查根据资金营运中心截至2025年6月30日各项业务余额，应收款项类投资业务抽样比例为100%，债券投资、公募基金、票据、资金、代客理财等其他业务抽样比例不低于业务量的20%。对于已处置的历史不良资产、过往存在本金或利息有逾期的业务或有问题线索的业务，须全部检查，另外，可根据审计需要，抽查不属于上述范围的已到期业务。此次审计均须穿透底层资产进行检查。</w:t>
      </w:r>
    </w:p>
    <w:p w14:paraId="55DA50CE">
      <w:pPr>
        <w:adjustRightInd w:val="0"/>
        <w:snapToGrid w:val="0"/>
        <w:spacing w:line="360" w:lineRule="auto"/>
        <w:ind w:firstLine="560" w:firstLineChars="200"/>
        <w:rPr>
          <w:rFonts w:hint="default" w:ascii="仿宋" w:hAnsi="仿宋" w:eastAsia="仿宋" w:cs="仿宋"/>
          <w:color w:val="auto"/>
          <w:kern w:val="0"/>
          <w:sz w:val="28"/>
          <w:szCs w:val="28"/>
          <w:highlight w:val="none"/>
          <w:lang w:val="en-US" w:eastAsia="zh-CN"/>
        </w:rPr>
      </w:pPr>
      <w:r>
        <w:rPr>
          <w:rFonts w:hint="eastAsia" w:ascii="仿宋" w:hAnsi="仿宋" w:eastAsia="仿宋" w:cs="仿宋"/>
          <w:b w:val="0"/>
          <w:bCs w:val="0"/>
          <w:color w:val="auto"/>
          <w:sz w:val="28"/>
          <w:szCs w:val="28"/>
          <w:highlight w:val="none"/>
          <w:lang w:val="en-US" w:eastAsia="zh-CN" w:bidi="ar"/>
        </w:rPr>
        <w:t>本次服务要求采用的方案、方法、流程等均须符合审计业务规范和要求，审计报告、管理建议书等成果均须以审计格式呈现，不得采用商定程序等非审计业务方案、方法、流程等，成果不得以商定程序格式呈现</w:t>
      </w:r>
      <w:r>
        <w:rPr>
          <w:rFonts w:hint="eastAsia" w:ascii="仿宋" w:hAnsi="仿宋" w:eastAsia="仿宋" w:cs="仿宋"/>
          <w:b w:val="0"/>
          <w:bCs w:val="0"/>
          <w:color w:val="auto"/>
          <w:sz w:val="28"/>
          <w:szCs w:val="28"/>
          <w:highlight w:val="none"/>
          <w:lang w:val="zh-CN" w:eastAsia="zh-CN" w:bidi="ar"/>
        </w:rPr>
        <w:t>。</w:t>
      </w:r>
      <w:r>
        <w:rPr>
          <w:rFonts w:hint="eastAsia" w:ascii="仿宋" w:hAnsi="仿宋" w:eastAsia="仿宋" w:cs="仿宋"/>
          <w:color w:val="auto"/>
          <w:kern w:val="0"/>
          <w:sz w:val="28"/>
          <w:szCs w:val="28"/>
          <w:highlight w:val="none"/>
          <w:lang w:val="en-US" w:eastAsia="zh-CN"/>
        </w:rPr>
        <w:t>最终提交的审计成果包括但不限于资金营运中心全面审计报告及审计建议书、投资业务审计报告及审计建议书、理财业务审计报告及审计建议书，以及报告附件（含底稿、审计方法、数据支持等）。报告内容需按业务模块分类列示问题，明确违规性质（如重大问题、一般问题等）。且提出针对性改进建议（如制度修订、系统优化、效益提升、风险防控、人员管理、薪酬考核等）。</w:t>
      </w:r>
    </w:p>
    <w:p w14:paraId="3699AA67">
      <w:pPr>
        <w:adjustRightInd w:val="0"/>
        <w:snapToGrid w:val="0"/>
        <w:spacing w:line="360" w:lineRule="auto"/>
        <w:ind w:firstLine="562" w:firstLineChars="200"/>
        <w:rPr>
          <w:rFonts w:hint="eastAsia" w:ascii="仿宋" w:hAnsi="仿宋" w:eastAsia="仿宋" w:cs="仿宋"/>
          <w:b/>
          <w:bCs/>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二、审计内容范围</w:t>
      </w:r>
    </w:p>
    <w:p w14:paraId="6FC72F34">
      <w:pPr>
        <w:adjustRightInd w:val="0"/>
        <w:snapToGrid w:val="0"/>
        <w:spacing w:line="360" w:lineRule="auto"/>
        <w:ind w:firstLine="560" w:firstLineChars="200"/>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审计范围包含但不限于以下内容：</w:t>
      </w:r>
    </w:p>
    <w:p w14:paraId="4689C0C9">
      <w:pPr>
        <w:adjustRightInd w:val="0"/>
        <w:snapToGrid w:val="0"/>
        <w:spacing w:line="360" w:lineRule="auto"/>
        <w:ind w:firstLine="562" w:firstLineChars="200"/>
        <w:rPr>
          <w:rFonts w:hint="default" w:ascii="仿宋" w:hAnsi="仿宋" w:eastAsia="仿宋" w:cs="仿宋"/>
          <w:b/>
          <w:bCs/>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（一）内控管理</w:t>
      </w:r>
    </w:p>
    <w:p w14:paraId="0BB6FD86">
      <w:pPr>
        <w:adjustRightInd w:val="0"/>
        <w:snapToGrid w:val="0"/>
        <w:spacing w:line="360" w:lineRule="auto"/>
        <w:ind w:firstLine="562" w:firstLineChars="200"/>
        <w:rPr>
          <w:rFonts w:hint="eastAsia" w:ascii="仿宋" w:hAnsi="仿宋" w:eastAsia="仿宋" w:cs="仿宋"/>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 xml:space="preserve">（二）合规管理  </w:t>
      </w:r>
      <w:r>
        <w:rPr>
          <w:rFonts w:hint="eastAsia" w:ascii="仿宋" w:hAnsi="仿宋" w:eastAsia="仿宋" w:cs="仿宋"/>
          <w:color w:val="auto"/>
          <w:kern w:val="0"/>
          <w:sz w:val="28"/>
          <w:szCs w:val="28"/>
          <w:highlight w:val="none"/>
          <w:lang w:val="en-US" w:eastAsia="zh-CN"/>
        </w:rPr>
        <w:t xml:space="preserve">  </w:t>
      </w:r>
    </w:p>
    <w:p w14:paraId="3641C114">
      <w:pPr>
        <w:adjustRightInd w:val="0"/>
        <w:snapToGrid w:val="0"/>
        <w:spacing w:line="360" w:lineRule="auto"/>
        <w:ind w:firstLine="562" w:firstLineChars="200"/>
        <w:rPr>
          <w:rFonts w:hint="eastAsia" w:ascii="仿宋" w:hAnsi="仿宋" w:eastAsia="仿宋" w:cs="仿宋"/>
          <w:b/>
          <w:bCs/>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（三）风险管理</w:t>
      </w:r>
    </w:p>
    <w:p w14:paraId="18B70B38">
      <w:pPr>
        <w:adjustRightInd w:val="0"/>
        <w:snapToGrid w:val="0"/>
        <w:spacing w:line="360" w:lineRule="auto"/>
        <w:ind w:firstLine="562" w:firstLineChars="200"/>
        <w:rPr>
          <w:rFonts w:hint="eastAsia" w:ascii="仿宋" w:hAnsi="仿宋" w:eastAsia="仿宋" w:cs="仿宋"/>
          <w:b/>
          <w:bCs/>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（四）经营管理</w:t>
      </w:r>
    </w:p>
    <w:p w14:paraId="6BE4B566">
      <w:pPr>
        <w:adjustRightInd w:val="0"/>
        <w:snapToGrid w:val="0"/>
        <w:spacing w:line="360" w:lineRule="auto"/>
        <w:ind w:firstLine="562" w:firstLineChars="200"/>
        <w:rPr>
          <w:rFonts w:hint="default" w:ascii="仿宋" w:hAnsi="仿宋" w:eastAsia="仿宋" w:cs="仿宋"/>
          <w:b/>
          <w:bCs/>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（五）财务管理</w:t>
      </w:r>
    </w:p>
    <w:p w14:paraId="7293C459">
      <w:pPr>
        <w:adjustRightInd w:val="0"/>
        <w:snapToGrid w:val="0"/>
        <w:spacing w:line="360" w:lineRule="auto"/>
        <w:ind w:firstLine="562" w:firstLineChars="200"/>
        <w:rPr>
          <w:rFonts w:hint="default" w:ascii="仿宋" w:hAnsi="仿宋" w:eastAsia="仿宋" w:cs="仿宋"/>
          <w:b/>
          <w:bCs/>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（六）业务开展情况</w:t>
      </w:r>
    </w:p>
    <w:p w14:paraId="751E41DA">
      <w:pPr>
        <w:pStyle w:val="3"/>
        <w:spacing w:line="460" w:lineRule="exact"/>
        <w:jc w:val="center"/>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（二）磋商项目商务要求</w:t>
      </w:r>
      <w:bookmarkEnd w:id="35"/>
    </w:p>
    <w:p w14:paraId="7D0CC9DD">
      <w:pPr>
        <w:adjustRightInd w:val="0"/>
        <w:snapToGrid w:val="0"/>
        <w:spacing w:line="360" w:lineRule="auto"/>
        <w:ind w:firstLine="560" w:firstLineChars="200"/>
        <w:rPr>
          <w:rFonts w:hint="default"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rPr>
        <w:t>1、</w:t>
      </w:r>
      <w:r>
        <w:rPr>
          <w:rFonts w:hint="eastAsia" w:ascii="仿宋" w:hAnsi="仿宋" w:eastAsia="仿宋" w:cs="仿宋"/>
          <w:color w:val="auto"/>
          <w:kern w:val="0"/>
          <w:sz w:val="28"/>
          <w:szCs w:val="28"/>
          <w:highlight w:val="none"/>
          <w:lang w:val="en-US" w:eastAsia="zh-CN"/>
        </w:rPr>
        <w:t>服务期限</w:t>
      </w:r>
      <w:r>
        <w:rPr>
          <w:rFonts w:hint="eastAsia" w:ascii="仿宋" w:hAnsi="仿宋" w:eastAsia="仿宋" w:cs="仿宋"/>
          <w:color w:val="auto"/>
          <w:kern w:val="0"/>
          <w:sz w:val="28"/>
          <w:szCs w:val="28"/>
          <w:highlight w:val="none"/>
        </w:rPr>
        <w:t>：</w:t>
      </w:r>
      <w:r>
        <w:rPr>
          <w:rFonts w:hint="eastAsia" w:ascii="仿宋" w:hAnsi="仿宋" w:eastAsia="仿宋" w:cs="仿宋"/>
          <w:color w:val="auto"/>
          <w:kern w:val="0"/>
          <w:sz w:val="28"/>
          <w:szCs w:val="28"/>
          <w:highlight w:val="none"/>
          <w:lang w:val="en-US" w:eastAsia="zh-CN"/>
        </w:rPr>
        <w:t>自合同签订日起2个月内。</w:t>
      </w:r>
    </w:p>
    <w:p w14:paraId="420AC166">
      <w:pPr>
        <w:adjustRightInd w:val="0"/>
        <w:snapToGrid w:val="0"/>
        <w:spacing w:line="360" w:lineRule="auto"/>
        <w:ind w:firstLine="560" w:firstLineChars="200"/>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2、交货地点：采购人指定地点。</w:t>
      </w:r>
    </w:p>
    <w:bookmarkEnd w:id="34"/>
    <w:p w14:paraId="06F40F07">
      <w:pPr>
        <w:autoSpaceDE w:val="0"/>
        <w:autoSpaceDN w:val="0"/>
        <w:adjustRightInd w:val="0"/>
        <w:snapToGrid w:val="0"/>
        <w:spacing w:line="360" w:lineRule="auto"/>
        <w:ind w:firstLine="562" w:firstLineChars="200"/>
        <w:rPr>
          <w:rFonts w:ascii="仿宋" w:hAnsi="仿宋" w:eastAsia="仿宋" w:cs="宋体"/>
          <w:bCs/>
          <w:color w:val="auto"/>
          <w:sz w:val="28"/>
          <w:szCs w:val="28"/>
        </w:rPr>
      </w:pPr>
      <w:r>
        <w:rPr>
          <w:rFonts w:hint="eastAsia" w:ascii="仿宋" w:hAnsi="仿宋" w:eastAsia="仿宋" w:cs="宋体"/>
          <w:b/>
          <w:bCs w:val="0"/>
          <w:color w:val="auto"/>
          <w:sz w:val="28"/>
          <w:szCs w:val="28"/>
        </w:rPr>
        <w:br w:type="page"/>
      </w:r>
      <w:r>
        <w:rPr>
          <w:rFonts w:hint="eastAsia" w:ascii="仿宋" w:hAnsi="仿宋" w:eastAsia="仿宋" w:cs="宋体"/>
          <w:b/>
          <w:bCs w:val="0"/>
          <w:color w:val="auto"/>
          <w:sz w:val="28"/>
          <w:szCs w:val="28"/>
        </w:rPr>
        <w:t>附件2</w:t>
      </w:r>
    </w:p>
    <w:tbl>
      <w:tblPr>
        <w:tblStyle w:val="9"/>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30"/>
        <w:gridCol w:w="5926"/>
      </w:tblGrid>
      <w:tr w14:paraId="25A4D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856" w:type="dxa"/>
            <w:gridSpan w:val="2"/>
            <w:vMerge w:val="restart"/>
            <w:tcBorders>
              <w:top w:val="nil"/>
              <w:left w:val="nil"/>
              <w:bottom w:val="nil"/>
              <w:right w:val="nil"/>
            </w:tcBorders>
            <w:noWrap w:val="0"/>
            <w:vAlign w:val="center"/>
          </w:tcPr>
          <w:p w14:paraId="62FFAC3E">
            <w:pPr>
              <w:keepNext w:val="0"/>
              <w:keepLines w:val="0"/>
              <w:widowControl/>
              <w:suppressLineNumbers w:val="0"/>
              <w:jc w:val="center"/>
              <w:textAlignment w:val="center"/>
              <w:rPr>
                <w:rFonts w:ascii="楷体" w:hAnsi="楷体" w:eastAsia="楷体" w:cs="楷体"/>
                <w:b/>
                <w:bCs/>
                <w:i w:val="0"/>
                <w:iCs w:val="0"/>
                <w:color w:val="auto"/>
                <w:sz w:val="44"/>
                <w:szCs w:val="44"/>
                <w:u w:val="none"/>
              </w:rPr>
            </w:pPr>
            <w:r>
              <w:rPr>
                <w:rFonts w:hint="eastAsia" w:ascii="楷体" w:hAnsi="楷体" w:eastAsia="楷体" w:cs="楷体"/>
                <w:b/>
                <w:bCs/>
                <w:i w:val="0"/>
                <w:iCs w:val="0"/>
                <w:color w:val="auto"/>
                <w:kern w:val="0"/>
                <w:sz w:val="44"/>
                <w:szCs w:val="44"/>
                <w:u w:val="none"/>
                <w:lang w:val="en-US" w:eastAsia="zh-CN" w:bidi="ar"/>
              </w:rPr>
              <w:t>项目报名登记表</w:t>
            </w:r>
          </w:p>
        </w:tc>
      </w:tr>
      <w:tr w14:paraId="2F38C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856" w:type="dxa"/>
            <w:gridSpan w:val="2"/>
            <w:vMerge w:val="continue"/>
            <w:tcBorders>
              <w:top w:val="nil"/>
              <w:left w:val="nil"/>
              <w:bottom w:val="nil"/>
              <w:right w:val="nil"/>
            </w:tcBorders>
            <w:noWrap w:val="0"/>
            <w:vAlign w:val="center"/>
          </w:tcPr>
          <w:p w14:paraId="799F9EFC">
            <w:pPr>
              <w:jc w:val="center"/>
              <w:rPr>
                <w:rFonts w:hint="eastAsia" w:ascii="楷体" w:hAnsi="楷体" w:eastAsia="楷体" w:cs="楷体"/>
                <w:b/>
                <w:bCs/>
                <w:i w:val="0"/>
                <w:iCs w:val="0"/>
                <w:color w:val="auto"/>
                <w:sz w:val="44"/>
                <w:szCs w:val="44"/>
                <w:u w:val="none"/>
              </w:rPr>
            </w:pPr>
          </w:p>
        </w:tc>
      </w:tr>
      <w:tr w14:paraId="37DE1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856" w:type="dxa"/>
            <w:gridSpan w:val="2"/>
            <w:vMerge w:val="continue"/>
            <w:tcBorders>
              <w:top w:val="nil"/>
              <w:left w:val="nil"/>
              <w:bottom w:val="nil"/>
              <w:right w:val="nil"/>
            </w:tcBorders>
            <w:noWrap w:val="0"/>
            <w:vAlign w:val="center"/>
          </w:tcPr>
          <w:p w14:paraId="62F413C4">
            <w:pPr>
              <w:jc w:val="center"/>
              <w:rPr>
                <w:rFonts w:hint="eastAsia" w:ascii="楷体" w:hAnsi="楷体" w:eastAsia="楷体" w:cs="楷体"/>
                <w:b/>
                <w:bCs/>
                <w:i w:val="0"/>
                <w:iCs w:val="0"/>
                <w:color w:val="auto"/>
                <w:sz w:val="44"/>
                <w:szCs w:val="44"/>
                <w:u w:val="none"/>
              </w:rPr>
            </w:pPr>
          </w:p>
        </w:tc>
      </w:tr>
      <w:tr w14:paraId="10C7E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 w:hRule="atLeast"/>
        </w:trPr>
        <w:tc>
          <w:tcPr>
            <w:tcW w:w="8856" w:type="dxa"/>
            <w:gridSpan w:val="2"/>
            <w:vMerge w:val="continue"/>
            <w:tcBorders>
              <w:top w:val="nil"/>
              <w:left w:val="nil"/>
              <w:bottom w:val="nil"/>
              <w:right w:val="nil"/>
            </w:tcBorders>
            <w:noWrap w:val="0"/>
            <w:vAlign w:val="center"/>
          </w:tcPr>
          <w:p w14:paraId="01F60EB0">
            <w:pPr>
              <w:jc w:val="center"/>
              <w:rPr>
                <w:rFonts w:hint="eastAsia" w:ascii="楷体" w:hAnsi="楷体" w:eastAsia="楷体" w:cs="楷体"/>
                <w:b/>
                <w:bCs/>
                <w:i w:val="0"/>
                <w:iCs w:val="0"/>
                <w:color w:val="auto"/>
                <w:sz w:val="44"/>
                <w:szCs w:val="44"/>
                <w:u w:val="none"/>
              </w:rPr>
            </w:pPr>
          </w:p>
        </w:tc>
      </w:tr>
      <w:tr w14:paraId="30DB1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 w:hRule="atLeast"/>
        </w:trPr>
        <w:tc>
          <w:tcPr>
            <w:tcW w:w="8856" w:type="dxa"/>
            <w:gridSpan w:val="2"/>
            <w:vMerge w:val="continue"/>
            <w:tcBorders>
              <w:top w:val="nil"/>
              <w:left w:val="nil"/>
              <w:bottom w:val="nil"/>
              <w:right w:val="nil"/>
            </w:tcBorders>
            <w:noWrap w:val="0"/>
            <w:vAlign w:val="center"/>
          </w:tcPr>
          <w:p w14:paraId="2F3B7F8D">
            <w:pPr>
              <w:jc w:val="center"/>
              <w:rPr>
                <w:rFonts w:hint="eastAsia" w:ascii="楷体" w:hAnsi="楷体" w:eastAsia="楷体" w:cs="楷体"/>
                <w:b/>
                <w:bCs/>
                <w:i w:val="0"/>
                <w:iCs w:val="0"/>
                <w:color w:val="auto"/>
                <w:sz w:val="44"/>
                <w:szCs w:val="44"/>
                <w:u w:val="none"/>
              </w:rPr>
            </w:pPr>
          </w:p>
        </w:tc>
      </w:tr>
      <w:tr w14:paraId="2EC9C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restart"/>
            <w:tcBorders>
              <w:top w:val="single" w:color="000000" w:sz="4" w:space="0"/>
              <w:left w:val="single" w:color="000000" w:sz="4" w:space="0"/>
              <w:bottom w:val="single" w:color="000000" w:sz="4" w:space="0"/>
              <w:right w:val="single" w:color="000000" w:sz="4" w:space="0"/>
            </w:tcBorders>
            <w:noWrap w:val="0"/>
            <w:vAlign w:val="center"/>
          </w:tcPr>
          <w:p w14:paraId="634C3A05">
            <w:pPr>
              <w:keepNext w:val="0"/>
              <w:keepLines w:val="0"/>
              <w:widowControl/>
              <w:suppressLineNumbers w:val="0"/>
              <w:jc w:val="center"/>
              <w:textAlignment w:val="center"/>
              <w:rPr>
                <w:rFonts w:hint="eastAsia" w:ascii="楷体" w:hAnsi="楷体" w:eastAsia="楷体" w:cs="楷体"/>
                <w:b/>
                <w:bCs/>
                <w:i w:val="0"/>
                <w:iCs w:val="0"/>
                <w:color w:val="auto"/>
                <w:sz w:val="24"/>
                <w:szCs w:val="24"/>
                <w:u w:val="none"/>
              </w:rPr>
            </w:pPr>
            <w:r>
              <w:rPr>
                <w:rFonts w:hint="eastAsia" w:ascii="楷体" w:hAnsi="楷体" w:eastAsia="楷体" w:cs="楷体"/>
                <w:b/>
                <w:bCs/>
                <w:i w:val="0"/>
                <w:iCs w:val="0"/>
                <w:color w:val="auto"/>
                <w:kern w:val="0"/>
                <w:sz w:val="24"/>
                <w:szCs w:val="24"/>
                <w:u w:val="none"/>
                <w:lang w:val="en-US" w:eastAsia="zh-CN" w:bidi="ar"/>
              </w:rPr>
              <w:t>报名单位名称</w:t>
            </w:r>
          </w:p>
        </w:tc>
        <w:tc>
          <w:tcPr>
            <w:tcW w:w="5926" w:type="dxa"/>
            <w:vMerge w:val="restart"/>
            <w:tcBorders>
              <w:top w:val="single" w:color="000000" w:sz="4" w:space="0"/>
              <w:left w:val="single" w:color="000000" w:sz="4" w:space="0"/>
              <w:bottom w:val="single" w:color="000000" w:sz="4" w:space="0"/>
              <w:right w:val="single" w:color="000000" w:sz="4" w:space="0"/>
            </w:tcBorders>
            <w:noWrap w:val="0"/>
            <w:vAlign w:val="center"/>
          </w:tcPr>
          <w:p w14:paraId="62193EA1">
            <w:pPr>
              <w:jc w:val="center"/>
              <w:rPr>
                <w:rFonts w:hint="eastAsia" w:ascii="楷体" w:hAnsi="楷体" w:eastAsia="楷体" w:cs="楷体"/>
                <w:b/>
                <w:bCs/>
                <w:i w:val="0"/>
                <w:iCs w:val="0"/>
                <w:color w:val="auto"/>
                <w:sz w:val="22"/>
                <w:szCs w:val="22"/>
                <w:u w:val="none"/>
              </w:rPr>
            </w:pPr>
          </w:p>
        </w:tc>
      </w:tr>
      <w:tr w14:paraId="5FF64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3D3F34">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343F95">
            <w:pPr>
              <w:jc w:val="center"/>
              <w:rPr>
                <w:rFonts w:hint="eastAsia" w:ascii="楷体" w:hAnsi="楷体" w:eastAsia="楷体" w:cs="楷体"/>
                <w:b/>
                <w:bCs/>
                <w:i w:val="0"/>
                <w:iCs w:val="0"/>
                <w:color w:val="auto"/>
                <w:sz w:val="22"/>
                <w:szCs w:val="22"/>
                <w:u w:val="none"/>
              </w:rPr>
            </w:pPr>
          </w:p>
        </w:tc>
      </w:tr>
      <w:tr w14:paraId="2EFAB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77C4C4">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27F834">
            <w:pPr>
              <w:jc w:val="center"/>
              <w:rPr>
                <w:rFonts w:hint="eastAsia" w:ascii="楷体" w:hAnsi="楷体" w:eastAsia="楷体" w:cs="楷体"/>
                <w:b/>
                <w:bCs/>
                <w:i w:val="0"/>
                <w:iCs w:val="0"/>
                <w:color w:val="auto"/>
                <w:sz w:val="22"/>
                <w:szCs w:val="22"/>
                <w:u w:val="none"/>
              </w:rPr>
            </w:pPr>
          </w:p>
        </w:tc>
      </w:tr>
      <w:tr w14:paraId="3058A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930" w:type="dxa"/>
            <w:tcBorders>
              <w:top w:val="single" w:color="000000" w:sz="4" w:space="0"/>
              <w:left w:val="single" w:color="000000" w:sz="4" w:space="0"/>
              <w:bottom w:val="single" w:color="000000" w:sz="4" w:space="0"/>
              <w:right w:val="single" w:color="000000" w:sz="4" w:space="0"/>
            </w:tcBorders>
            <w:noWrap w:val="0"/>
            <w:vAlign w:val="center"/>
          </w:tcPr>
          <w:p w14:paraId="01BE6C1A">
            <w:pPr>
              <w:keepNext w:val="0"/>
              <w:keepLines w:val="0"/>
              <w:widowControl/>
              <w:suppressLineNumbers w:val="0"/>
              <w:jc w:val="center"/>
              <w:textAlignment w:val="center"/>
              <w:rPr>
                <w:rFonts w:hint="eastAsia" w:ascii="楷体" w:hAnsi="楷体" w:eastAsia="楷体" w:cs="楷体"/>
                <w:b/>
                <w:bCs/>
                <w:i w:val="0"/>
                <w:iCs w:val="0"/>
                <w:color w:val="auto"/>
                <w:sz w:val="24"/>
                <w:szCs w:val="24"/>
                <w:u w:val="none"/>
              </w:rPr>
            </w:pPr>
            <w:r>
              <w:rPr>
                <w:rFonts w:hint="eastAsia" w:ascii="楷体" w:hAnsi="楷体" w:eastAsia="楷体" w:cs="楷体"/>
                <w:b/>
                <w:bCs/>
                <w:i w:val="0"/>
                <w:iCs w:val="0"/>
                <w:color w:val="auto"/>
                <w:kern w:val="0"/>
                <w:sz w:val="24"/>
                <w:szCs w:val="24"/>
                <w:u w:val="none"/>
                <w:lang w:val="en-US" w:eastAsia="zh-CN" w:bidi="ar"/>
              </w:rPr>
              <w:t>报名日期</w:t>
            </w:r>
          </w:p>
        </w:tc>
        <w:tc>
          <w:tcPr>
            <w:tcW w:w="5926" w:type="dxa"/>
            <w:tcBorders>
              <w:top w:val="single" w:color="000000" w:sz="4" w:space="0"/>
              <w:left w:val="single" w:color="000000" w:sz="4" w:space="0"/>
              <w:bottom w:val="single" w:color="000000" w:sz="4" w:space="0"/>
              <w:right w:val="single" w:color="000000" w:sz="4" w:space="0"/>
            </w:tcBorders>
            <w:noWrap w:val="0"/>
            <w:vAlign w:val="center"/>
          </w:tcPr>
          <w:p w14:paraId="108A4375">
            <w:pPr>
              <w:jc w:val="center"/>
              <w:rPr>
                <w:rFonts w:hint="eastAsia" w:ascii="楷体" w:hAnsi="楷体" w:eastAsia="楷体" w:cs="楷体"/>
                <w:b/>
                <w:bCs/>
                <w:i w:val="0"/>
                <w:iCs w:val="0"/>
                <w:color w:val="auto"/>
                <w:sz w:val="22"/>
                <w:szCs w:val="22"/>
                <w:u w:val="none"/>
              </w:rPr>
            </w:pPr>
          </w:p>
        </w:tc>
      </w:tr>
      <w:tr w14:paraId="5D643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restart"/>
            <w:tcBorders>
              <w:top w:val="single" w:color="000000" w:sz="4" w:space="0"/>
              <w:left w:val="single" w:color="000000" w:sz="4" w:space="0"/>
              <w:bottom w:val="single" w:color="000000" w:sz="4" w:space="0"/>
              <w:right w:val="single" w:color="000000" w:sz="4" w:space="0"/>
            </w:tcBorders>
            <w:noWrap w:val="0"/>
            <w:vAlign w:val="center"/>
          </w:tcPr>
          <w:p w14:paraId="53E1C02C">
            <w:pPr>
              <w:keepNext w:val="0"/>
              <w:keepLines w:val="0"/>
              <w:widowControl/>
              <w:suppressLineNumbers w:val="0"/>
              <w:jc w:val="center"/>
              <w:textAlignment w:val="center"/>
              <w:rPr>
                <w:rFonts w:hint="eastAsia" w:ascii="楷体" w:hAnsi="楷体" w:eastAsia="楷体" w:cs="楷体"/>
                <w:b/>
                <w:bCs/>
                <w:i w:val="0"/>
                <w:iCs w:val="0"/>
                <w:color w:val="auto"/>
                <w:sz w:val="24"/>
                <w:szCs w:val="24"/>
                <w:u w:val="none"/>
              </w:rPr>
            </w:pPr>
            <w:r>
              <w:rPr>
                <w:rFonts w:hint="eastAsia" w:ascii="楷体" w:hAnsi="楷体" w:eastAsia="楷体" w:cs="楷体"/>
                <w:b/>
                <w:bCs/>
                <w:i w:val="0"/>
                <w:iCs w:val="0"/>
                <w:color w:val="auto"/>
                <w:kern w:val="0"/>
                <w:sz w:val="24"/>
                <w:szCs w:val="24"/>
                <w:u w:val="none"/>
                <w:lang w:val="en-US" w:eastAsia="zh-CN" w:bidi="ar"/>
              </w:rPr>
              <w:t>项目名称</w:t>
            </w:r>
          </w:p>
        </w:tc>
        <w:tc>
          <w:tcPr>
            <w:tcW w:w="5926" w:type="dxa"/>
            <w:vMerge w:val="restart"/>
            <w:tcBorders>
              <w:top w:val="single" w:color="000000" w:sz="4" w:space="0"/>
              <w:left w:val="single" w:color="000000" w:sz="4" w:space="0"/>
              <w:bottom w:val="single" w:color="000000" w:sz="4" w:space="0"/>
              <w:right w:val="single" w:color="000000" w:sz="4" w:space="0"/>
            </w:tcBorders>
            <w:noWrap w:val="0"/>
            <w:vAlign w:val="center"/>
          </w:tcPr>
          <w:p w14:paraId="56FAD2BE">
            <w:pPr>
              <w:jc w:val="center"/>
              <w:rPr>
                <w:rFonts w:hint="eastAsia" w:ascii="楷体" w:hAnsi="楷体" w:eastAsia="楷体" w:cs="楷体"/>
                <w:b/>
                <w:bCs/>
                <w:i w:val="0"/>
                <w:iCs w:val="0"/>
                <w:color w:val="auto"/>
                <w:sz w:val="22"/>
                <w:szCs w:val="22"/>
                <w:u w:val="none"/>
              </w:rPr>
            </w:pPr>
          </w:p>
        </w:tc>
      </w:tr>
      <w:tr w14:paraId="392C9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B12C0D">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F8AC72">
            <w:pPr>
              <w:jc w:val="center"/>
              <w:rPr>
                <w:rFonts w:hint="eastAsia" w:ascii="楷体" w:hAnsi="楷体" w:eastAsia="楷体" w:cs="楷体"/>
                <w:b/>
                <w:bCs/>
                <w:i w:val="0"/>
                <w:iCs w:val="0"/>
                <w:color w:val="auto"/>
                <w:sz w:val="22"/>
                <w:szCs w:val="22"/>
                <w:u w:val="none"/>
              </w:rPr>
            </w:pPr>
          </w:p>
        </w:tc>
      </w:tr>
      <w:tr w14:paraId="411BA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038DC6">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7A5DAC">
            <w:pPr>
              <w:jc w:val="center"/>
              <w:rPr>
                <w:rFonts w:hint="eastAsia" w:ascii="楷体" w:hAnsi="楷体" w:eastAsia="楷体" w:cs="楷体"/>
                <w:b/>
                <w:bCs/>
                <w:i w:val="0"/>
                <w:iCs w:val="0"/>
                <w:color w:val="auto"/>
                <w:sz w:val="22"/>
                <w:szCs w:val="22"/>
                <w:u w:val="none"/>
              </w:rPr>
            </w:pPr>
          </w:p>
        </w:tc>
      </w:tr>
      <w:tr w14:paraId="60A62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restart"/>
            <w:tcBorders>
              <w:top w:val="single" w:color="000000" w:sz="4" w:space="0"/>
              <w:left w:val="single" w:color="000000" w:sz="4" w:space="0"/>
              <w:bottom w:val="single" w:color="000000" w:sz="4" w:space="0"/>
              <w:right w:val="single" w:color="000000" w:sz="4" w:space="0"/>
            </w:tcBorders>
            <w:noWrap w:val="0"/>
            <w:vAlign w:val="center"/>
          </w:tcPr>
          <w:p w14:paraId="1A3385BC">
            <w:pPr>
              <w:keepNext w:val="0"/>
              <w:keepLines w:val="0"/>
              <w:widowControl/>
              <w:suppressLineNumbers w:val="0"/>
              <w:jc w:val="center"/>
              <w:textAlignment w:val="center"/>
              <w:rPr>
                <w:rFonts w:hint="default" w:ascii="楷体" w:hAnsi="楷体" w:eastAsia="楷体" w:cs="楷体"/>
                <w:b/>
                <w:bCs/>
                <w:i w:val="0"/>
                <w:iCs w:val="0"/>
                <w:color w:val="auto"/>
                <w:sz w:val="24"/>
                <w:szCs w:val="24"/>
                <w:u w:val="none"/>
                <w:lang w:val="en-US"/>
              </w:rPr>
            </w:pPr>
            <w:r>
              <w:rPr>
                <w:rFonts w:hint="eastAsia" w:ascii="楷体" w:hAnsi="楷体" w:eastAsia="楷体" w:cs="楷体"/>
                <w:b/>
                <w:bCs/>
                <w:i w:val="0"/>
                <w:iCs w:val="0"/>
                <w:color w:val="auto"/>
                <w:kern w:val="0"/>
                <w:sz w:val="24"/>
                <w:szCs w:val="24"/>
                <w:u w:val="none"/>
                <w:lang w:val="en-US" w:eastAsia="zh-CN" w:bidi="ar"/>
              </w:rPr>
              <w:t>项目编号</w:t>
            </w:r>
          </w:p>
        </w:tc>
        <w:tc>
          <w:tcPr>
            <w:tcW w:w="5926" w:type="dxa"/>
            <w:vMerge w:val="restart"/>
            <w:tcBorders>
              <w:top w:val="single" w:color="000000" w:sz="4" w:space="0"/>
              <w:left w:val="single" w:color="000000" w:sz="4" w:space="0"/>
              <w:bottom w:val="single" w:color="000000" w:sz="4" w:space="0"/>
              <w:right w:val="single" w:color="000000" w:sz="4" w:space="0"/>
            </w:tcBorders>
            <w:noWrap w:val="0"/>
            <w:vAlign w:val="center"/>
          </w:tcPr>
          <w:p w14:paraId="26B1A2AF">
            <w:pPr>
              <w:jc w:val="center"/>
              <w:rPr>
                <w:rFonts w:hint="eastAsia" w:ascii="楷体" w:hAnsi="楷体" w:eastAsia="楷体" w:cs="楷体"/>
                <w:b/>
                <w:bCs/>
                <w:i w:val="0"/>
                <w:iCs w:val="0"/>
                <w:color w:val="auto"/>
                <w:sz w:val="22"/>
                <w:szCs w:val="22"/>
                <w:u w:val="none"/>
              </w:rPr>
            </w:pPr>
          </w:p>
        </w:tc>
      </w:tr>
      <w:tr w14:paraId="0D582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563296">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7A5184">
            <w:pPr>
              <w:jc w:val="center"/>
              <w:rPr>
                <w:rFonts w:hint="eastAsia" w:ascii="楷体" w:hAnsi="楷体" w:eastAsia="楷体" w:cs="楷体"/>
                <w:b/>
                <w:bCs/>
                <w:i w:val="0"/>
                <w:iCs w:val="0"/>
                <w:color w:val="auto"/>
                <w:sz w:val="22"/>
                <w:szCs w:val="22"/>
                <w:u w:val="none"/>
              </w:rPr>
            </w:pPr>
          </w:p>
        </w:tc>
      </w:tr>
      <w:tr w14:paraId="7A41E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6753E6">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09B9D7">
            <w:pPr>
              <w:jc w:val="center"/>
              <w:rPr>
                <w:rFonts w:hint="eastAsia" w:ascii="楷体" w:hAnsi="楷体" w:eastAsia="楷体" w:cs="楷体"/>
                <w:b/>
                <w:bCs/>
                <w:i w:val="0"/>
                <w:iCs w:val="0"/>
                <w:color w:val="auto"/>
                <w:sz w:val="22"/>
                <w:szCs w:val="22"/>
                <w:u w:val="none"/>
              </w:rPr>
            </w:pPr>
          </w:p>
        </w:tc>
      </w:tr>
      <w:tr w14:paraId="1968E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restart"/>
            <w:tcBorders>
              <w:top w:val="single" w:color="000000" w:sz="4" w:space="0"/>
              <w:left w:val="single" w:color="000000" w:sz="4" w:space="0"/>
              <w:bottom w:val="single" w:color="000000" w:sz="4" w:space="0"/>
              <w:right w:val="single" w:color="000000" w:sz="4" w:space="0"/>
            </w:tcBorders>
            <w:noWrap w:val="0"/>
            <w:vAlign w:val="center"/>
          </w:tcPr>
          <w:p w14:paraId="08BA17F1">
            <w:pPr>
              <w:keepNext w:val="0"/>
              <w:keepLines w:val="0"/>
              <w:widowControl/>
              <w:suppressLineNumbers w:val="0"/>
              <w:jc w:val="center"/>
              <w:textAlignment w:val="center"/>
              <w:rPr>
                <w:rFonts w:hint="eastAsia" w:ascii="楷体" w:hAnsi="楷体" w:eastAsia="楷体" w:cs="楷体"/>
                <w:b/>
                <w:bCs/>
                <w:i w:val="0"/>
                <w:iCs w:val="0"/>
                <w:color w:val="auto"/>
                <w:sz w:val="24"/>
                <w:szCs w:val="24"/>
                <w:u w:val="none"/>
              </w:rPr>
            </w:pPr>
            <w:r>
              <w:rPr>
                <w:rFonts w:hint="eastAsia" w:ascii="楷体" w:hAnsi="楷体" w:eastAsia="楷体" w:cs="楷体"/>
                <w:b/>
                <w:bCs/>
                <w:i w:val="0"/>
                <w:iCs w:val="0"/>
                <w:color w:val="auto"/>
                <w:kern w:val="0"/>
                <w:sz w:val="24"/>
                <w:szCs w:val="24"/>
                <w:u w:val="none"/>
                <w:lang w:val="en-US" w:eastAsia="zh-CN" w:bidi="ar"/>
              </w:rPr>
              <w:t>联系人</w:t>
            </w:r>
          </w:p>
        </w:tc>
        <w:tc>
          <w:tcPr>
            <w:tcW w:w="5926" w:type="dxa"/>
            <w:vMerge w:val="restart"/>
            <w:tcBorders>
              <w:top w:val="single" w:color="000000" w:sz="4" w:space="0"/>
              <w:left w:val="single" w:color="000000" w:sz="4" w:space="0"/>
              <w:bottom w:val="single" w:color="000000" w:sz="4" w:space="0"/>
              <w:right w:val="single" w:color="000000" w:sz="4" w:space="0"/>
            </w:tcBorders>
            <w:noWrap w:val="0"/>
            <w:vAlign w:val="center"/>
          </w:tcPr>
          <w:p w14:paraId="040C84AF">
            <w:pPr>
              <w:jc w:val="center"/>
              <w:rPr>
                <w:rFonts w:hint="eastAsia" w:ascii="楷体" w:hAnsi="楷体" w:eastAsia="楷体" w:cs="楷体"/>
                <w:b/>
                <w:bCs/>
                <w:i w:val="0"/>
                <w:iCs w:val="0"/>
                <w:color w:val="auto"/>
                <w:sz w:val="22"/>
                <w:szCs w:val="22"/>
                <w:u w:val="none"/>
              </w:rPr>
            </w:pPr>
          </w:p>
        </w:tc>
      </w:tr>
      <w:tr w14:paraId="1781E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59D916">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676AF8">
            <w:pPr>
              <w:jc w:val="center"/>
              <w:rPr>
                <w:rFonts w:hint="eastAsia" w:ascii="楷体" w:hAnsi="楷体" w:eastAsia="楷体" w:cs="楷体"/>
                <w:b/>
                <w:bCs/>
                <w:i w:val="0"/>
                <w:iCs w:val="0"/>
                <w:color w:val="auto"/>
                <w:sz w:val="22"/>
                <w:szCs w:val="22"/>
                <w:u w:val="none"/>
              </w:rPr>
            </w:pPr>
          </w:p>
        </w:tc>
      </w:tr>
      <w:tr w14:paraId="1BFED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1DB57B">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D85BD2">
            <w:pPr>
              <w:jc w:val="center"/>
              <w:rPr>
                <w:rFonts w:hint="eastAsia" w:ascii="楷体" w:hAnsi="楷体" w:eastAsia="楷体" w:cs="楷体"/>
                <w:b/>
                <w:bCs/>
                <w:i w:val="0"/>
                <w:iCs w:val="0"/>
                <w:color w:val="auto"/>
                <w:sz w:val="22"/>
                <w:szCs w:val="22"/>
                <w:u w:val="none"/>
              </w:rPr>
            </w:pPr>
          </w:p>
        </w:tc>
      </w:tr>
      <w:tr w14:paraId="52758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restart"/>
            <w:tcBorders>
              <w:top w:val="single" w:color="000000" w:sz="4" w:space="0"/>
              <w:left w:val="single" w:color="000000" w:sz="4" w:space="0"/>
              <w:bottom w:val="single" w:color="000000" w:sz="4" w:space="0"/>
              <w:right w:val="single" w:color="000000" w:sz="4" w:space="0"/>
            </w:tcBorders>
            <w:noWrap w:val="0"/>
            <w:vAlign w:val="center"/>
          </w:tcPr>
          <w:p w14:paraId="50EBCE74">
            <w:pPr>
              <w:keepNext w:val="0"/>
              <w:keepLines w:val="0"/>
              <w:widowControl/>
              <w:suppressLineNumbers w:val="0"/>
              <w:jc w:val="center"/>
              <w:textAlignment w:val="center"/>
              <w:rPr>
                <w:rFonts w:hint="eastAsia" w:ascii="楷体" w:hAnsi="楷体" w:eastAsia="楷体" w:cs="楷体"/>
                <w:b/>
                <w:bCs/>
                <w:i w:val="0"/>
                <w:iCs w:val="0"/>
                <w:color w:val="auto"/>
                <w:sz w:val="24"/>
                <w:szCs w:val="24"/>
                <w:u w:val="none"/>
              </w:rPr>
            </w:pPr>
            <w:r>
              <w:rPr>
                <w:rFonts w:hint="eastAsia" w:ascii="楷体" w:hAnsi="楷体" w:eastAsia="楷体" w:cs="楷体"/>
                <w:b/>
                <w:bCs/>
                <w:i w:val="0"/>
                <w:iCs w:val="0"/>
                <w:color w:val="auto"/>
                <w:kern w:val="0"/>
                <w:sz w:val="24"/>
                <w:szCs w:val="24"/>
                <w:u w:val="none"/>
                <w:lang w:val="en-US" w:eastAsia="zh-CN" w:bidi="ar"/>
              </w:rPr>
              <w:t>联系电话</w:t>
            </w:r>
          </w:p>
        </w:tc>
        <w:tc>
          <w:tcPr>
            <w:tcW w:w="5926" w:type="dxa"/>
            <w:vMerge w:val="restart"/>
            <w:tcBorders>
              <w:top w:val="single" w:color="000000" w:sz="4" w:space="0"/>
              <w:left w:val="single" w:color="000000" w:sz="4" w:space="0"/>
              <w:bottom w:val="single" w:color="000000" w:sz="4" w:space="0"/>
              <w:right w:val="single" w:color="000000" w:sz="4" w:space="0"/>
            </w:tcBorders>
            <w:noWrap w:val="0"/>
            <w:vAlign w:val="center"/>
          </w:tcPr>
          <w:p w14:paraId="635F982C">
            <w:pPr>
              <w:jc w:val="center"/>
              <w:rPr>
                <w:rFonts w:hint="eastAsia" w:ascii="楷体" w:hAnsi="楷体" w:eastAsia="楷体" w:cs="楷体"/>
                <w:b/>
                <w:bCs/>
                <w:i w:val="0"/>
                <w:iCs w:val="0"/>
                <w:color w:val="auto"/>
                <w:sz w:val="22"/>
                <w:szCs w:val="22"/>
                <w:u w:val="none"/>
              </w:rPr>
            </w:pPr>
          </w:p>
        </w:tc>
      </w:tr>
      <w:tr w14:paraId="5AE4C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56499D">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598983">
            <w:pPr>
              <w:jc w:val="center"/>
              <w:rPr>
                <w:rFonts w:hint="eastAsia" w:ascii="楷体" w:hAnsi="楷体" w:eastAsia="楷体" w:cs="楷体"/>
                <w:b/>
                <w:bCs/>
                <w:i w:val="0"/>
                <w:iCs w:val="0"/>
                <w:color w:val="auto"/>
                <w:sz w:val="22"/>
                <w:szCs w:val="22"/>
                <w:u w:val="none"/>
              </w:rPr>
            </w:pPr>
          </w:p>
        </w:tc>
      </w:tr>
      <w:tr w14:paraId="09F9F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CD4E2D">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F68AC9">
            <w:pPr>
              <w:jc w:val="center"/>
              <w:rPr>
                <w:rFonts w:hint="eastAsia" w:ascii="楷体" w:hAnsi="楷体" w:eastAsia="楷体" w:cs="楷体"/>
                <w:b/>
                <w:bCs/>
                <w:i w:val="0"/>
                <w:iCs w:val="0"/>
                <w:color w:val="auto"/>
                <w:sz w:val="22"/>
                <w:szCs w:val="22"/>
                <w:u w:val="none"/>
              </w:rPr>
            </w:pPr>
          </w:p>
        </w:tc>
      </w:tr>
      <w:tr w14:paraId="658F4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restart"/>
            <w:tcBorders>
              <w:top w:val="single" w:color="000000" w:sz="4" w:space="0"/>
              <w:left w:val="single" w:color="000000" w:sz="4" w:space="0"/>
              <w:bottom w:val="single" w:color="000000" w:sz="4" w:space="0"/>
              <w:right w:val="single" w:color="000000" w:sz="4" w:space="0"/>
            </w:tcBorders>
            <w:noWrap w:val="0"/>
            <w:vAlign w:val="center"/>
          </w:tcPr>
          <w:p w14:paraId="50C2FD2D">
            <w:pPr>
              <w:keepNext w:val="0"/>
              <w:keepLines w:val="0"/>
              <w:widowControl/>
              <w:suppressLineNumbers w:val="0"/>
              <w:jc w:val="center"/>
              <w:textAlignment w:val="center"/>
              <w:rPr>
                <w:rFonts w:hint="eastAsia" w:ascii="楷体" w:hAnsi="楷体" w:eastAsia="楷体" w:cs="楷体"/>
                <w:b/>
                <w:bCs/>
                <w:i w:val="0"/>
                <w:iCs w:val="0"/>
                <w:color w:val="auto"/>
                <w:sz w:val="24"/>
                <w:szCs w:val="24"/>
                <w:u w:val="none"/>
              </w:rPr>
            </w:pPr>
            <w:r>
              <w:rPr>
                <w:rFonts w:hint="eastAsia" w:ascii="楷体" w:hAnsi="楷体" w:eastAsia="楷体" w:cs="楷体"/>
                <w:b/>
                <w:bCs/>
                <w:i w:val="0"/>
                <w:iCs w:val="0"/>
                <w:color w:val="auto"/>
                <w:kern w:val="0"/>
                <w:sz w:val="24"/>
                <w:szCs w:val="24"/>
                <w:u w:val="none"/>
                <w:lang w:val="en-US" w:eastAsia="zh-CN" w:bidi="ar"/>
              </w:rPr>
              <w:t>电子邮箱</w:t>
            </w:r>
          </w:p>
        </w:tc>
        <w:tc>
          <w:tcPr>
            <w:tcW w:w="5926" w:type="dxa"/>
            <w:vMerge w:val="restart"/>
            <w:tcBorders>
              <w:top w:val="single" w:color="000000" w:sz="4" w:space="0"/>
              <w:left w:val="single" w:color="000000" w:sz="4" w:space="0"/>
              <w:bottom w:val="single" w:color="000000" w:sz="4" w:space="0"/>
              <w:right w:val="single" w:color="000000" w:sz="4" w:space="0"/>
            </w:tcBorders>
            <w:noWrap w:val="0"/>
            <w:vAlign w:val="center"/>
          </w:tcPr>
          <w:p w14:paraId="540D65C4">
            <w:pPr>
              <w:jc w:val="center"/>
              <w:rPr>
                <w:rFonts w:hint="eastAsia" w:ascii="宋体" w:hAnsi="宋体" w:eastAsia="宋体" w:cs="宋体"/>
                <w:i w:val="0"/>
                <w:iCs w:val="0"/>
                <w:color w:val="auto"/>
                <w:sz w:val="22"/>
                <w:szCs w:val="22"/>
                <w:u w:val="single"/>
              </w:rPr>
            </w:pPr>
          </w:p>
        </w:tc>
      </w:tr>
      <w:tr w14:paraId="4D542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FB3454">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6AB9DC">
            <w:pPr>
              <w:jc w:val="center"/>
              <w:rPr>
                <w:rFonts w:hint="eastAsia" w:ascii="宋体" w:hAnsi="宋体" w:eastAsia="宋体" w:cs="宋体"/>
                <w:i w:val="0"/>
                <w:iCs w:val="0"/>
                <w:color w:val="auto"/>
                <w:sz w:val="22"/>
                <w:szCs w:val="22"/>
                <w:u w:val="single"/>
              </w:rPr>
            </w:pPr>
          </w:p>
        </w:tc>
      </w:tr>
      <w:tr w14:paraId="4F861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FBACCD">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64F6EB">
            <w:pPr>
              <w:jc w:val="center"/>
              <w:rPr>
                <w:rFonts w:hint="eastAsia" w:ascii="宋体" w:hAnsi="宋体" w:eastAsia="宋体" w:cs="宋体"/>
                <w:i w:val="0"/>
                <w:iCs w:val="0"/>
                <w:color w:val="auto"/>
                <w:sz w:val="22"/>
                <w:szCs w:val="22"/>
                <w:u w:val="single"/>
              </w:rPr>
            </w:pPr>
          </w:p>
        </w:tc>
      </w:tr>
      <w:tr w14:paraId="08FDA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restart"/>
            <w:tcBorders>
              <w:top w:val="single" w:color="000000" w:sz="4" w:space="0"/>
              <w:left w:val="single" w:color="000000" w:sz="4" w:space="0"/>
              <w:bottom w:val="single" w:color="000000" w:sz="4" w:space="0"/>
              <w:right w:val="single" w:color="000000" w:sz="4" w:space="0"/>
            </w:tcBorders>
            <w:noWrap w:val="0"/>
            <w:vAlign w:val="center"/>
          </w:tcPr>
          <w:p w14:paraId="420EC793">
            <w:pPr>
              <w:keepNext w:val="0"/>
              <w:keepLines w:val="0"/>
              <w:widowControl/>
              <w:suppressLineNumbers w:val="0"/>
              <w:jc w:val="center"/>
              <w:textAlignment w:val="center"/>
              <w:rPr>
                <w:rFonts w:hint="eastAsia" w:ascii="楷体" w:hAnsi="楷体" w:eastAsia="楷体" w:cs="楷体"/>
                <w:b/>
                <w:bCs/>
                <w:i w:val="0"/>
                <w:iCs w:val="0"/>
                <w:color w:val="auto"/>
                <w:sz w:val="24"/>
                <w:szCs w:val="24"/>
                <w:u w:val="none"/>
              </w:rPr>
            </w:pPr>
            <w:r>
              <w:rPr>
                <w:rFonts w:hint="eastAsia" w:ascii="楷体" w:hAnsi="楷体" w:eastAsia="楷体" w:cs="楷体"/>
                <w:b/>
                <w:bCs/>
                <w:i w:val="0"/>
                <w:iCs w:val="0"/>
                <w:color w:val="auto"/>
                <w:kern w:val="0"/>
                <w:sz w:val="24"/>
                <w:szCs w:val="24"/>
                <w:u w:val="none"/>
                <w:lang w:val="en-US" w:eastAsia="zh-CN" w:bidi="ar"/>
              </w:rPr>
              <w:t>报名资料明细</w:t>
            </w:r>
          </w:p>
        </w:tc>
        <w:tc>
          <w:tcPr>
            <w:tcW w:w="5926" w:type="dxa"/>
            <w:vMerge w:val="restart"/>
            <w:tcBorders>
              <w:top w:val="single" w:color="000000" w:sz="4" w:space="0"/>
              <w:left w:val="single" w:color="000000" w:sz="4" w:space="0"/>
              <w:bottom w:val="single" w:color="000000" w:sz="4" w:space="0"/>
              <w:right w:val="single" w:color="000000" w:sz="4" w:space="0"/>
            </w:tcBorders>
            <w:noWrap w:val="0"/>
            <w:vAlign w:val="center"/>
          </w:tcPr>
          <w:p w14:paraId="0EA408D3">
            <w:pPr>
              <w:jc w:val="center"/>
              <w:rPr>
                <w:rFonts w:hint="eastAsia" w:ascii="楷体" w:hAnsi="楷体" w:eastAsia="楷体" w:cs="楷体"/>
                <w:b/>
                <w:bCs/>
                <w:i w:val="0"/>
                <w:iCs w:val="0"/>
                <w:color w:val="auto"/>
                <w:sz w:val="22"/>
                <w:szCs w:val="22"/>
                <w:u w:val="none"/>
              </w:rPr>
            </w:pPr>
          </w:p>
        </w:tc>
      </w:tr>
      <w:tr w14:paraId="094AE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300A04">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9F5D08">
            <w:pPr>
              <w:jc w:val="center"/>
              <w:rPr>
                <w:rFonts w:hint="eastAsia" w:ascii="楷体" w:hAnsi="楷体" w:eastAsia="楷体" w:cs="楷体"/>
                <w:b/>
                <w:bCs/>
                <w:i w:val="0"/>
                <w:iCs w:val="0"/>
                <w:color w:val="auto"/>
                <w:sz w:val="22"/>
                <w:szCs w:val="22"/>
                <w:u w:val="none"/>
              </w:rPr>
            </w:pPr>
          </w:p>
        </w:tc>
      </w:tr>
      <w:tr w14:paraId="2115E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0" w:hRule="atLeast"/>
        </w:trPr>
        <w:tc>
          <w:tcPr>
            <w:tcW w:w="293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5AB589">
            <w:pPr>
              <w:jc w:val="center"/>
              <w:rPr>
                <w:rFonts w:hint="eastAsia" w:ascii="楷体" w:hAnsi="楷体" w:eastAsia="楷体" w:cs="楷体"/>
                <w:b/>
                <w:bCs/>
                <w:i w:val="0"/>
                <w:iCs w:val="0"/>
                <w:color w:val="auto"/>
                <w:sz w:val="24"/>
                <w:szCs w:val="24"/>
                <w:u w:val="none"/>
              </w:rPr>
            </w:pPr>
          </w:p>
        </w:tc>
        <w:tc>
          <w:tcPr>
            <w:tcW w:w="592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CD99AC">
            <w:pPr>
              <w:jc w:val="center"/>
              <w:rPr>
                <w:rFonts w:hint="eastAsia" w:ascii="楷体" w:hAnsi="楷体" w:eastAsia="楷体" w:cs="楷体"/>
                <w:b/>
                <w:bCs/>
                <w:i w:val="0"/>
                <w:iCs w:val="0"/>
                <w:color w:val="auto"/>
                <w:sz w:val="22"/>
                <w:szCs w:val="22"/>
                <w:u w:val="none"/>
              </w:rPr>
            </w:pPr>
          </w:p>
        </w:tc>
      </w:tr>
    </w:tbl>
    <w:p w14:paraId="6C8DFEBA">
      <w:pPr>
        <w:pStyle w:val="2"/>
        <w:ind w:left="0" w:leftChars="0" w:firstLine="0" w:firstLineChars="0"/>
        <w:jc w:val="both"/>
        <w:rPr>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0C2EA7"/>
    <w:rsid w:val="01F80A87"/>
    <w:rsid w:val="04926F71"/>
    <w:rsid w:val="064A77FF"/>
    <w:rsid w:val="06B17456"/>
    <w:rsid w:val="0CBF0B1F"/>
    <w:rsid w:val="143516C6"/>
    <w:rsid w:val="1571672E"/>
    <w:rsid w:val="18F83897"/>
    <w:rsid w:val="1A0C2EA7"/>
    <w:rsid w:val="1B4D379A"/>
    <w:rsid w:val="1BC82E90"/>
    <w:rsid w:val="1CE41EDC"/>
    <w:rsid w:val="1F67569D"/>
    <w:rsid w:val="2CA11CD7"/>
    <w:rsid w:val="2DE47F8D"/>
    <w:rsid w:val="2E206AEC"/>
    <w:rsid w:val="2E5C2ACD"/>
    <w:rsid w:val="335A65FC"/>
    <w:rsid w:val="37DF1BFD"/>
    <w:rsid w:val="3CBC3E83"/>
    <w:rsid w:val="41CF4659"/>
    <w:rsid w:val="452A2E8C"/>
    <w:rsid w:val="4554734F"/>
    <w:rsid w:val="4618037D"/>
    <w:rsid w:val="47D604EF"/>
    <w:rsid w:val="4DAB5F7A"/>
    <w:rsid w:val="52D970E6"/>
    <w:rsid w:val="57875362"/>
    <w:rsid w:val="5E2C0A7E"/>
    <w:rsid w:val="628A5E63"/>
    <w:rsid w:val="62A6780F"/>
    <w:rsid w:val="6AD93CCF"/>
    <w:rsid w:val="6AFB3C45"/>
    <w:rsid w:val="70232000"/>
    <w:rsid w:val="717227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nhideWhenUsed="0" w:uiPriority="9"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99"/>
    <w:pPr>
      <w:keepNext/>
      <w:keepLines/>
      <w:spacing w:before="260" w:after="260" w:line="413" w:lineRule="auto"/>
      <w:ind w:firstLine="628"/>
      <w:jc w:val="center"/>
      <w:outlineLvl w:val="1"/>
    </w:pPr>
    <w:rPr>
      <w:rFonts w:ascii="Arial" w:hAnsi="Arial" w:eastAsia="黑体" w:cs="Times New Roman"/>
      <w:b/>
      <w:bCs/>
      <w:sz w:val="32"/>
      <w:szCs w:val="32"/>
    </w:rPr>
  </w:style>
  <w:style w:type="paragraph" w:styleId="3">
    <w:name w:val="heading 3"/>
    <w:basedOn w:val="1"/>
    <w:next w:val="1"/>
    <w:qFormat/>
    <w:uiPriority w:val="9"/>
    <w:pPr>
      <w:keepNext/>
      <w:keepLines/>
      <w:spacing w:before="260" w:after="260" w:line="416" w:lineRule="auto"/>
      <w:outlineLvl w:val="2"/>
    </w:pPr>
    <w:rPr>
      <w:b/>
      <w:bCs/>
      <w:sz w:val="32"/>
      <w:szCs w:val="32"/>
    </w:rPr>
  </w:style>
  <w:style w:type="paragraph" w:styleId="4">
    <w:name w:val="heading 4"/>
    <w:basedOn w:val="1"/>
    <w:next w:val="1"/>
    <w:qFormat/>
    <w:uiPriority w:val="0"/>
    <w:pPr>
      <w:keepNext/>
      <w:jc w:val="center"/>
      <w:outlineLvl w:val="3"/>
    </w:pPr>
    <w:rPr>
      <w:rFonts w:ascii="宋体" w:hAnsi="宋体"/>
      <w:b/>
      <w:bCs/>
      <w:kern w:val="0"/>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next w:val="6"/>
    <w:qFormat/>
    <w:uiPriority w:val="0"/>
    <w:pPr>
      <w:spacing w:after="120"/>
    </w:pPr>
  </w:style>
  <w:style w:type="paragraph" w:customStyle="1" w:styleId="6">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7">
    <w:name w:val="Plain Text"/>
    <w:basedOn w:val="1"/>
    <w:next w:val="4"/>
    <w:qFormat/>
    <w:uiPriority w:val="0"/>
    <w:rPr>
      <w:rFonts w:ascii="宋体" w:hAnsi="Courier New"/>
      <w:kern w:val="0"/>
    </w:rPr>
  </w:style>
  <w:style w:type="paragraph" w:styleId="8">
    <w:name w:val="Body Text Indent 2"/>
    <w:basedOn w:val="1"/>
    <w:qFormat/>
    <w:uiPriority w:val="0"/>
    <w:pPr>
      <w:spacing w:after="120" w:line="480" w:lineRule="auto"/>
      <w:ind w:left="420" w:leftChars="200"/>
    </w:pPr>
  </w:style>
  <w:style w:type="character" w:customStyle="1" w:styleId="11">
    <w:name w:val="NormalCharacter"/>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2362</Words>
  <Characters>2599</Characters>
  <Lines>0</Lines>
  <Paragraphs>0</Paragraphs>
  <TotalTime>0</TotalTime>
  <ScaleCrop>false</ScaleCrop>
  <LinksUpToDate>false</LinksUpToDate>
  <CharactersWithSpaces>2624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2025-09-24T03:53:00Z</dcterms:created>
  <dc:creator>十一</dc:creator>
  <cp:lastModifiedBy>云ing   。</cp:lastModifiedBy>
  <dcterms:modified xsi:type="dcterms:W3CDTF">2026-01-28T05:58:29Z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5A69B2F945184BD3BD2137AF793F1FC7_11</vt:lpwstr>
  </property>
  <property fmtid="{D5CDD505-2E9C-101B-9397-08002B2CF9AE}" pid="4" name="KSOTemplateDocerSaveRecord">
    <vt:lpwstr>eyJoZGlkIjoiYTE2Y2NhZDc1MDlmM2I4ZjU5NThhOTkwMDk3NGI3YjYiLCJ1c2VySWQiOiIxMDg4OTE4NzM5In0=</vt:lpwstr>
  </property>
</Properties>
</file>